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B8634" w14:textId="666D5E95" w:rsidR="007517CD" w:rsidRDefault="007517CD" w:rsidP="007517CD">
      <w:pPr>
        <w:spacing w:after="120"/>
        <w:jc w:val="center"/>
        <w:rPr>
          <w:b/>
          <w:bCs/>
        </w:rPr>
      </w:pPr>
      <w:r>
        <w:rPr>
          <w:b/>
          <w:bCs/>
        </w:rPr>
        <w:t>Quakers in Yorkshire</w:t>
      </w:r>
    </w:p>
    <w:p w14:paraId="7A7A8DB1" w14:textId="4C86C212" w:rsidR="00C2684E" w:rsidRDefault="00D51F58" w:rsidP="00E85B73">
      <w:pPr>
        <w:spacing w:after="120"/>
        <w:jc w:val="center"/>
        <w:rPr>
          <w:b/>
          <w:bCs/>
        </w:rPr>
      </w:pPr>
      <w:r>
        <w:rPr>
          <w:b/>
          <w:bCs/>
        </w:rPr>
        <w:t xml:space="preserve">Simplifying </w:t>
      </w:r>
      <w:r w:rsidR="002600F6">
        <w:rPr>
          <w:b/>
          <w:bCs/>
        </w:rPr>
        <w:t xml:space="preserve">Charitable </w:t>
      </w:r>
      <w:r w:rsidR="00CD41AB">
        <w:rPr>
          <w:b/>
          <w:bCs/>
        </w:rPr>
        <w:t>Fun</w:t>
      </w:r>
      <w:r>
        <w:rPr>
          <w:b/>
          <w:bCs/>
        </w:rPr>
        <w:t xml:space="preserve">ctions </w:t>
      </w:r>
      <w:r w:rsidR="002600F6">
        <w:rPr>
          <w:b/>
          <w:bCs/>
        </w:rPr>
        <w:t>Group - June</w:t>
      </w:r>
      <w:r>
        <w:rPr>
          <w:b/>
          <w:bCs/>
        </w:rPr>
        <w:t xml:space="preserve"> 2023</w:t>
      </w:r>
    </w:p>
    <w:p w14:paraId="68D00A6C" w14:textId="06E4A4CC" w:rsidR="002600F6" w:rsidRDefault="002600F6" w:rsidP="00E85B73">
      <w:pPr>
        <w:spacing w:after="120"/>
        <w:jc w:val="center"/>
        <w:rPr>
          <w:b/>
          <w:bCs/>
        </w:rPr>
      </w:pPr>
      <w:r>
        <w:rPr>
          <w:b/>
          <w:bCs/>
        </w:rPr>
        <w:t>Potential for shared management of property</w:t>
      </w:r>
    </w:p>
    <w:p w14:paraId="6E7A944E" w14:textId="77777777" w:rsidR="00E85B73" w:rsidRDefault="00E85B73" w:rsidP="00E85B73">
      <w:pPr>
        <w:spacing w:after="120"/>
        <w:jc w:val="center"/>
      </w:pPr>
    </w:p>
    <w:p w14:paraId="2FC63D51" w14:textId="18F5F42B" w:rsidR="002600F6" w:rsidRDefault="00060B25" w:rsidP="00500D1D">
      <w:pPr>
        <w:spacing w:after="120"/>
      </w:pPr>
      <w:r>
        <w:t xml:space="preserve">This </w:t>
      </w:r>
      <w:r w:rsidR="002600F6">
        <w:t xml:space="preserve">note reviews the </w:t>
      </w:r>
      <w:r w:rsidR="007E1149">
        <w:t xml:space="preserve">potential for </w:t>
      </w:r>
      <w:r w:rsidR="002600F6">
        <w:t>shar</w:t>
      </w:r>
      <w:r w:rsidR="007E1149">
        <w:t>ed</w:t>
      </w:r>
      <w:r w:rsidR="002600F6">
        <w:t xml:space="preserve"> management of property.</w:t>
      </w:r>
    </w:p>
    <w:p w14:paraId="617BCEFA" w14:textId="05F65945" w:rsidR="008E1FD3" w:rsidRDefault="008E1FD3" w:rsidP="00500D1D">
      <w:pPr>
        <w:spacing w:after="120"/>
      </w:pPr>
      <w:r>
        <w:t>Martina has well summarised the advantages and disadvantaged in her paper “Mapping Trustee Responsibilities…“ (pages 2-4) so they will not be repeated here.</w:t>
      </w:r>
    </w:p>
    <w:p w14:paraId="2903A6F3" w14:textId="6B35B587" w:rsidR="00AF226D" w:rsidRDefault="008E1FD3" w:rsidP="00E624D8">
      <w:pPr>
        <w:spacing w:after="120"/>
      </w:pPr>
      <w:r>
        <w:t xml:space="preserve">Managing property is a global issue.  We all live in </w:t>
      </w:r>
      <w:r w:rsidR="00AF226D">
        <w:t xml:space="preserve">a home </w:t>
      </w:r>
      <w:r>
        <w:t xml:space="preserve">which we either </w:t>
      </w:r>
      <w:r w:rsidR="00AF226D">
        <w:t xml:space="preserve">look after ourselves or is looked after by a shared method.  There is huge experience of different methods of property management.  </w:t>
      </w:r>
      <w:r w:rsidR="006528B1">
        <w:t>This is as true for Quaker management of properties as for general management of properties.  The London Quaker Property Trust provides an example of shared management, whilst the historic example of the Brighouse, Leeds &amp; Settle Building Charity provides an example of shared ownership</w:t>
      </w:r>
      <w:r w:rsidR="00E624D8">
        <w:t xml:space="preserve">.  A summary of these two charities is in the </w:t>
      </w:r>
      <w:r w:rsidR="006528B1">
        <w:t>Appendices</w:t>
      </w:r>
      <w:r w:rsidR="00E624D8">
        <w:t xml:space="preserve"> which also has a summary of the number of meeting houses in QiY region.</w:t>
      </w:r>
    </w:p>
    <w:p w14:paraId="00750331" w14:textId="60DB6193" w:rsidR="00810987" w:rsidRDefault="00AF226D" w:rsidP="00500D1D">
      <w:pPr>
        <w:spacing w:after="120"/>
      </w:pPr>
      <w:r>
        <w:t>In British Quakerism the historic model was for each local meeting to decide where it was going to meet and if that was in an owned meeting house to look after the premises.  Usually a Premises Committee, consisting of volunteers, does the day-to-day oversight.  Minor repairs and maintenance may done be volunteers, major work is done by contractors</w:t>
      </w:r>
      <w:r w:rsidR="00F7617D">
        <w:t xml:space="preserve"> (exactly as in-home maintenance).  Contractors have to be selected, managed, </w:t>
      </w:r>
      <w:r w:rsidR="00516F1B">
        <w:t xml:space="preserve">and </w:t>
      </w:r>
      <w:r w:rsidR="00F7617D">
        <w:t xml:space="preserve">paid </w:t>
      </w:r>
      <w:r w:rsidR="00516F1B">
        <w:t xml:space="preserve">– all tasks better done by someone </w:t>
      </w:r>
      <w:r w:rsidR="00F7617D">
        <w:t xml:space="preserve">which </w:t>
      </w:r>
      <w:r w:rsidR="00516F1B">
        <w:t>experience.</w:t>
      </w:r>
      <w:r w:rsidR="00F7617D">
        <w:t xml:space="preserve"> </w:t>
      </w:r>
    </w:p>
    <w:p w14:paraId="184D0AEC" w14:textId="61D4BFDB" w:rsidR="008E1FD3" w:rsidRDefault="00F7617D" w:rsidP="00500D1D">
      <w:pPr>
        <w:spacing w:after="120"/>
      </w:pPr>
      <w:r>
        <w:t xml:space="preserve">With the formalisation of charitable status in the last few decades, meeting houses are </w:t>
      </w:r>
      <w:r w:rsidR="00516F1B">
        <w:t xml:space="preserve">now </w:t>
      </w:r>
      <w:r>
        <w:t>owned by area meetings.  Trustees are responsible for property and finance</w:t>
      </w:r>
      <w:r w:rsidR="00516F1B">
        <w:t>, but may delegate to local meetings</w:t>
      </w:r>
      <w:r>
        <w:t>.  The extent of devolution to local meetings varies.</w:t>
      </w:r>
      <w:r w:rsidR="00810987">
        <w:t xml:space="preserve">  Generally, local meetings with sufficient members manage and finance their </w:t>
      </w:r>
      <w:r w:rsidR="00E624D8">
        <w:t xml:space="preserve">own </w:t>
      </w:r>
      <w:r w:rsidR="00810987">
        <w:t>meeting houses</w:t>
      </w:r>
      <w:r w:rsidR="00E624D8">
        <w:t xml:space="preserve"> whilst</w:t>
      </w:r>
      <w:r w:rsidR="00810987">
        <w:t xml:space="preserve"> smaller meetings use pooled funds and resources.</w:t>
      </w:r>
    </w:p>
    <w:p w14:paraId="0F403447" w14:textId="77777777" w:rsidR="00E624D8" w:rsidRPr="00E624D8" w:rsidRDefault="00E624D8" w:rsidP="00E624D8">
      <w:pPr>
        <w:rPr>
          <w:b/>
          <w:bCs/>
        </w:rPr>
      </w:pPr>
      <w:r w:rsidRPr="00E624D8">
        <w:rPr>
          <w:b/>
          <w:bCs/>
        </w:rPr>
        <w:t xml:space="preserve">It is fair to observe that all methods of managing property can be made to work well.  Crucially, there are two factors distinguishing successful management from potential conflict:  </w:t>
      </w:r>
    </w:p>
    <w:p w14:paraId="6D967825" w14:textId="77777777" w:rsidR="00E624D8" w:rsidRPr="00E624D8" w:rsidRDefault="00E624D8" w:rsidP="00A967CF">
      <w:pPr>
        <w:pStyle w:val="ListParagraph"/>
        <w:numPr>
          <w:ilvl w:val="0"/>
          <w:numId w:val="5"/>
        </w:numPr>
        <w:spacing w:after="120"/>
        <w:rPr>
          <w:b/>
          <w:bCs/>
        </w:rPr>
      </w:pPr>
      <w:r w:rsidRPr="00E624D8">
        <w:rPr>
          <w:b/>
          <w:bCs/>
        </w:rPr>
        <w:t>Willing cooperation between all parties.  This applies as much locally as shared management.</w:t>
      </w:r>
    </w:p>
    <w:p w14:paraId="7EF1473A" w14:textId="408C0632" w:rsidR="00E624D8" w:rsidRDefault="00E624D8" w:rsidP="00A967CF">
      <w:pPr>
        <w:pStyle w:val="ListParagraph"/>
        <w:numPr>
          <w:ilvl w:val="0"/>
          <w:numId w:val="5"/>
        </w:numPr>
        <w:spacing w:after="120"/>
      </w:pPr>
      <w:r w:rsidRPr="00E624D8">
        <w:rPr>
          <w:b/>
          <w:bCs/>
        </w:rPr>
        <w:t>Adequate sources of finance.</w:t>
      </w:r>
    </w:p>
    <w:p w14:paraId="56D69596" w14:textId="77777777" w:rsidR="00E624D8" w:rsidRDefault="00E624D8" w:rsidP="00E624D8">
      <w:pPr>
        <w:pStyle w:val="ListParagraph"/>
        <w:spacing w:after="120"/>
      </w:pPr>
    </w:p>
    <w:p w14:paraId="6E5DCD3F" w14:textId="3C0707E5" w:rsidR="00810987" w:rsidRDefault="00516F1B" w:rsidP="00E624D8">
      <w:pPr>
        <w:spacing w:after="120"/>
      </w:pPr>
      <w:r>
        <w:t xml:space="preserve">The table </w:t>
      </w:r>
      <w:r w:rsidR="00FE6101">
        <w:t xml:space="preserve">overleaf </w:t>
      </w:r>
      <w:r>
        <w:t>assesses wh</w:t>
      </w:r>
      <w:r w:rsidR="00E624D8">
        <w:t>ich type of premises</w:t>
      </w:r>
      <w:r>
        <w:t xml:space="preserve"> work is best done locally or </w:t>
      </w:r>
      <w:r w:rsidR="00E624D8">
        <w:t xml:space="preserve">best </w:t>
      </w:r>
      <w:r>
        <w:t xml:space="preserve">shared. </w:t>
      </w:r>
    </w:p>
    <w:p w14:paraId="36640D33" w14:textId="375B3E56" w:rsidR="00FE6101" w:rsidRDefault="00FE6101">
      <w:pPr>
        <w:spacing w:after="160" w:line="259" w:lineRule="auto"/>
      </w:pPr>
      <w:r>
        <w:br w:type="page"/>
      </w:r>
    </w:p>
    <w:tbl>
      <w:tblPr>
        <w:tblStyle w:val="TableGrid"/>
        <w:tblW w:w="0" w:type="auto"/>
        <w:tblLook w:val="04A0" w:firstRow="1" w:lastRow="0" w:firstColumn="1" w:lastColumn="0" w:noHBand="0" w:noVBand="1"/>
      </w:tblPr>
      <w:tblGrid>
        <w:gridCol w:w="3005"/>
        <w:gridCol w:w="2660"/>
        <w:gridCol w:w="3351"/>
      </w:tblGrid>
      <w:tr w:rsidR="00217312" w14:paraId="26F06991" w14:textId="77777777" w:rsidTr="00516F1B">
        <w:tc>
          <w:tcPr>
            <w:tcW w:w="3005" w:type="dxa"/>
          </w:tcPr>
          <w:p w14:paraId="1EEA8672" w14:textId="5C811D48" w:rsidR="00217312" w:rsidRPr="004B77CA" w:rsidRDefault="00217312" w:rsidP="00500D1D">
            <w:pPr>
              <w:spacing w:after="120"/>
              <w:rPr>
                <w:b/>
                <w:bCs/>
                <w:sz w:val="22"/>
                <w:szCs w:val="22"/>
              </w:rPr>
            </w:pPr>
            <w:r w:rsidRPr="004B77CA">
              <w:rPr>
                <w:b/>
                <w:bCs/>
                <w:sz w:val="22"/>
                <w:szCs w:val="22"/>
              </w:rPr>
              <w:lastRenderedPageBreak/>
              <w:t>Types of premises issues</w:t>
            </w:r>
          </w:p>
        </w:tc>
        <w:tc>
          <w:tcPr>
            <w:tcW w:w="2660" w:type="dxa"/>
          </w:tcPr>
          <w:p w14:paraId="263480B5" w14:textId="223F8AA6" w:rsidR="00217312" w:rsidRPr="004B77CA" w:rsidRDefault="00217312" w:rsidP="00500D1D">
            <w:pPr>
              <w:spacing w:after="120"/>
              <w:rPr>
                <w:b/>
                <w:bCs/>
                <w:sz w:val="22"/>
                <w:szCs w:val="22"/>
              </w:rPr>
            </w:pPr>
            <w:r w:rsidRPr="004B77CA">
              <w:rPr>
                <w:b/>
                <w:bCs/>
                <w:sz w:val="22"/>
                <w:szCs w:val="22"/>
              </w:rPr>
              <w:t>Done locally</w:t>
            </w:r>
          </w:p>
        </w:tc>
        <w:tc>
          <w:tcPr>
            <w:tcW w:w="3351" w:type="dxa"/>
          </w:tcPr>
          <w:p w14:paraId="473A698F" w14:textId="0B5138BC" w:rsidR="00217312" w:rsidRPr="004B77CA" w:rsidRDefault="00967090" w:rsidP="00500D1D">
            <w:pPr>
              <w:spacing w:after="120"/>
              <w:rPr>
                <w:b/>
                <w:bCs/>
                <w:sz w:val="22"/>
                <w:szCs w:val="22"/>
              </w:rPr>
            </w:pPr>
            <w:r w:rsidRPr="004B77CA">
              <w:rPr>
                <w:b/>
                <w:bCs/>
                <w:sz w:val="22"/>
                <w:szCs w:val="22"/>
              </w:rPr>
              <w:t>Done s</w:t>
            </w:r>
            <w:r w:rsidR="00217312" w:rsidRPr="004B77CA">
              <w:rPr>
                <w:b/>
                <w:bCs/>
                <w:sz w:val="22"/>
                <w:szCs w:val="22"/>
              </w:rPr>
              <w:t xml:space="preserve">hared </w:t>
            </w:r>
          </w:p>
        </w:tc>
      </w:tr>
      <w:tr w:rsidR="00217312" w14:paraId="77A3F88F" w14:textId="77777777" w:rsidTr="00516F1B">
        <w:tc>
          <w:tcPr>
            <w:tcW w:w="3005" w:type="dxa"/>
          </w:tcPr>
          <w:p w14:paraId="700EB89D" w14:textId="33557898" w:rsidR="00217312" w:rsidRPr="004B77CA" w:rsidRDefault="00217312" w:rsidP="00500D1D">
            <w:pPr>
              <w:spacing w:after="120"/>
              <w:rPr>
                <w:sz w:val="22"/>
                <w:szCs w:val="22"/>
              </w:rPr>
            </w:pPr>
            <w:r w:rsidRPr="004B77CA">
              <w:rPr>
                <w:sz w:val="22"/>
                <w:szCs w:val="22"/>
              </w:rPr>
              <w:t>Immediate and essential (e.g. boiler failure, broken window etc)</w:t>
            </w:r>
          </w:p>
        </w:tc>
        <w:tc>
          <w:tcPr>
            <w:tcW w:w="2660" w:type="dxa"/>
          </w:tcPr>
          <w:p w14:paraId="7FCD502C" w14:textId="730D5DB9" w:rsidR="00217312" w:rsidRPr="004B77CA" w:rsidRDefault="00217312" w:rsidP="00500D1D">
            <w:pPr>
              <w:spacing w:after="120"/>
              <w:rPr>
                <w:sz w:val="22"/>
                <w:szCs w:val="22"/>
              </w:rPr>
            </w:pPr>
            <w:r w:rsidRPr="004B77CA">
              <w:rPr>
                <w:sz w:val="22"/>
                <w:szCs w:val="22"/>
              </w:rPr>
              <w:t>Best done locally - assuming access to appropriate contractors</w:t>
            </w:r>
            <w:r w:rsidR="00967090" w:rsidRPr="004B77CA">
              <w:rPr>
                <w:sz w:val="22"/>
                <w:szCs w:val="22"/>
              </w:rPr>
              <w:t>.  Need agreed budget.</w:t>
            </w:r>
          </w:p>
        </w:tc>
        <w:tc>
          <w:tcPr>
            <w:tcW w:w="3351" w:type="dxa"/>
          </w:tcPr>
          <w:p w14:paraId="0289B2FB" w14:textId="4CAE7293" w:rsidR="00217312" w:rsidRPr="004B77CA" w:rsidRDefault="00217312" w:rsidP="00500D1D">
            <w:pPr>
              <w:spacing w:after="120"/>
              <w:rPr>
                <w:sz w:val="22"/>
                <w:szCs w:val="22"/>
              </w:rPr>
            </w:pPr>
            <w:r w:rsidRPr="004B77CA">
              <w:rPr>
                <w:sz w:val="22"/>
                <w:szCs w:val="22"/>
              </w:rPr>
              <w:t>Planned maintenance can reduce number of immediate issues and may be better shared.</w:t>
            </w:r>
          </w:p>
        </w:tc>
      </w:tr>
      <w:tr w:rsidR="00217312" w14:paraId="3BCDC9AA" w14:textId="77777777" w:rsidTr="00516F1B">
        <w:tc>
          <w:tcPr>
            <w:tcW w:w="3005" w:type="dxa"/>
          </w:tcPr>
          <w:p w14:paraId="68837AB0" w14:textId="342DCDD6" w:rsidR="00217312" w:rsidRPr="004B77CA" w:rsidRDefault="00967090" w:rsidP="00500D1D">
            <w:pPr>
              <w:spacing w:after="120"/>
              <w:rPr>
                <w:sz w:val="22"/>
                <w:szCs w:val="22"/>
              </w:rPr>
            </w:pPr>
            <w:r w:rsidRPr="004B77CA">
              <w:rPr>
                <w:sz w:val="22"/>
                <w:szCs w:val="22"/>
              </w:rPr>
              <w:t>Short to medium term maintenance (e.g. annual service, cleaning of gutters, paths etc)</w:t>
            </w:r>
          </w:p>
        </w:tc>
        <w:tc>
          <w:tcPr>
            <w:tcW w:w="2660" w:type="dxa"/>
          </w:tcPr>
          <w:p w14:paraId="1706A2B5" w14:textId="6DE660C8" w:rsidR="00217312" w:rsidRPr="004B77CA" w:rsidRDefault="004B77CA" w:rsidP="00500D1D">
            <w:pPr>
              <w:spacing w:after="120"/>
              <w:rPr>
                <w:sz w:val="22"/>
                <w:szCs w:val="22"/>
              </w:rPr>
            </w:pPr>
            <w:r w:rsidRPr="004B77CA">
              <w:rPr>
                <w:sz w:val="22"/>
                <w:szCs w:val="22"/>
              </w:rPr>
              <w:t>Mix of local and shared experiences best.</w:t>
            </w:r>
          </w:p>
        </w:tc>
        <w:tc>
          <w:tcPr>
            <w:tcW w:w="3351" w:type="dxa"/>
          </w:tcPr>
          <w:p w14:paraId="749CBB63" w14:textId="1F5CDCA8" w:rsidR="00217312" w:rsidRPr="004B77CA" w:rsidRDefault="004B77CA" w:rsidP="00500D1D">
            <w:pPr>
              <w:spacing w:after="120"/>
              <w:rPr>
                <w:sz w:val="22"/>
                <w:szCs w:val="22"/>
              </w:rPr>
            </w:pPr>
            <w:r w:rsidRPr="004B77CA">
              <w:rPr>
                <w:sz w:val="22"/>
                <w:szCs w:val="22"/>
              </w:rPr>
              <w:t xml:space="preserve">Coordinating </w:t>
            </w:r>
            <w:r>
              <w:rPr>
                <w:sz w:val="22"/>
                <w:szCs w:val="22"/>
              </w:rPr>
              <w:t>work across a number of meeting houses may reduce costs and ensure high standards.</w:t>
            </w:r>
          </w:p>
        </w:tc>
      </w:tr>
      <w:tr w:rsidR="00217312" w14:paraId="11855E39" w14:textId="77777777" w:rsidTr="00516F1B">
        <w:trPr>
          <w:cantSplit/>
        </w:trPr>
        <w:tc>
          <w:tcPr>
            <w:tcW w:w="3005" w:type="dxa"/>
          </w:tcPr>
          <w:p w14:paraId="60BE4C9B" w14:textId="4A3F7D30" w:rsidR="00217312" w:rsidRPr="004B77CA" w:rsidRDefault="00967090" w:rsidP="00500D1D">
            <w:pPr>
              <w:spacing w:after="120"/>
              <w:rPr>
                <w:sz w:val="22"/>
                <w:szCs w:val="22"/>
              </w:rPr>
            </w:pPr>
            <w:r w:rsidRPr="004B77CA">
              <w:rPr>
                <w:sz w:val="22"/>
                <w:szCs w:val="22"/>
              </w:rPr>
              <w:t xml:space="preserve">Long term maintenance (e.g. quinquennial </w:t>
            </w:r>
            <w:r w:rsidR="00516F1B">
              <w:rPr>
                <w:sz w:val="22"/>
                <w:szCs w:val="22"/>
              </w:rPr>
              <w:t>survey</w:t>
            </w:r>
            <w:r w:rsidRPr="004B77CA">
              <w:rPr>
                <w:sz w:val="22"/>
                <w:szCs w:val="22"/>
              </w:rPr>
              <w:t>, re-roofing etc.</w:t>
            </w:r>
          </w:p>
        </w:tc>
        <w:tc>
          <w:tcPr>
            <w:tcW w:w="2660" w:type="dxa"/>
          </w:tcPr>
          <w:p w14:paraId="7F8DCBF1" w14:textId="1A9D6036" w:rsidR="00217312" w:rsidRPr="004B77CA" w:rsidRDefault="004B77CA" w:rsidP="00500D1D">
            <w:pPr>
              <w:spacing w:after="120"/>
              <w:rPr>
                <w:sz w:val="22"/>
                <w:szCs w:val="22"/>
              </w:rPr>
            </w:pPr>
            <w:r w:rsidRPr="004B77CA">
              <w:rPr>
                <w:sz w:val="22"/>
                <w:szCs w:val="22"/>
              </w:rPr>
              <w:t>Can be local but then experience not shared.</w:t>
            </w:r>
          </w:p>
        </w:tc>
        <w:tc>
          <w:tcPr>
            <w:tcW w:w="3351" w:type="dxa"/>
          </w:tcPr>
          <w:p w14:paraId="07BA5939" w14:textId="77777777" w:rsidR="004B77CA" w:rsidRPr="004B77CA" w:rsidRDefault="004B77CA" w:rsidP="00500D1D">
            <w:pPr>
              <w:spacing w:after="120"/>
              <w:rPr>
                <w:sz w:val="22"/>
                <w:szCs w:val="22"/>
              </w:rPr>
            </w:pPr>
            <w:r w:rsidRPr="004B77CA">
              <w:rPr>
                <w:sz w:val="22"/>
                <w:szCs w:val="22"/>
              </w:rPr>
              <w:t xml:space="preserve">Trustees should be assured that planning adequate. </w:t>
            </w:r>
          </w:p>
          <w:p w14:paraId="75FBC1E5" w14:textId="5E5BEDB0" w:rsidR="004B77CA" w:rsidRPr="004B77CA" w:rsidRDefault="004B77CA" w:rsidP="00500D1D">
            <w:pPr>
              <w:spacing w:after="120"/>
              <w:rPr>
                <w:sz w:val="22"/>
                <w:szCs w:val="22"/>
              </w:rPr>
            </w:pPr>
            <w:r w:rsidRPr="004B77CA">
              <w:rPr>
                <w:sz w:val="22"/>
                <w:szCs w:val="22"/>
              </w:rPr>
              <w:t>Programme of work best coordinated by sharing.</w:t>
            </w:r>
          </w:p>
          <w:p w14:paraId="426FE666" w14:textId="75E7EF27" w:rsidR="004B77CA" w:rsidRPr="004B77CA" w:rsidRDefault="004B77CA" w:rsidP="00500D1D">
            <w:pPr>
              <w:spacing w:after="120"/>
              <w:rPr>
                <w:sz w:val="22"/>
                <w:szCs w:val="22"/>
              </w:rPr>
            </w:pPr>
            <w:r w:rsidRPr="004B77CA">
              <w:rPr>
                <w:sz w:val="22"/>
                <w:szCs w:val="22"/>
              </w:rPr>
              <w:t>Work b</w:t>
            </w:r>
            <w:r w:rsidR="00967090" w:rsidRPr="004B77CA">
              <w:rPr>
                <w:sz w:val="22"/>
                <w:szCs w:val="22"/>
              </w:rPr>
              <w:t>est done by professionals</w:t>
            </w:r>
            <w:r w:rsidRPr="004B77CA">
              <w:rPr>
                <w:sz w:val="22"/>
                <w:szCs w:val="22"/>
              </w:rPr>
              <w:t xml:space="preserve"> with </w:t>
            </w:r>
            <w:r w:rsidR="00516F1B">
              <w:rPr>
                <w:sz w:val="22"/>
                <w:szCs w:val="22"/>
              </w:rPr>
              <w:t xml:space="preserve">access to </w:t>
            </w:r>
            <w:r w:rsidRPr="004B77CA">
              <w:rPr>
                <w:sz w:val="22"/>
                <w:szCs w:val="22"/>
              </w:rPr>
              <w:t>historic knowledge of premises.</w:t>
            </w:r>
          </w:p>
          <w:p w14:paraId="7DD5E37E" w14:textId="2F78A573" w:rsidR="00217312" w:rsidRPr="004B77CA" w:rsidRDefault="00967090" w:rsidP="00500D1D">
            <w:pPr>
              <w:spacing w:after="120"/>
              <w:rPr>
                <w:sz w:val="22"/>
                <w:szCs w:val="22"/>
              </w:rPr>
            </w:pPr>
            <w:r w:rsidRPr="004B77CA">
              <w:rPr>
                <w:sz w:val="22"/>
                <w:szCs w:val="22"/>
              </w:rPr>
              <w:t>Shared maintenance can reduce costs and give more efficient use of resources.</w:t>
            </w:r>
          </w:p>
        </w:tc>
      </w:tr>
      <w:tr w:rsidR="00967090" w14:paraId="554FD0DD" w14:textId="77777777" w:rsidTr="00516F1B">
        <w:tc>
          <w:tcPr>
            <w:tcW w:w="3005" w:type="dxa"/>
          </w:tcPr>
          <w:p w14:paraId="014B081C" w14:textId="411C723E" w:rsidR="00967090" w:rsidRPr="004B77CA" w:rsidRDefault="00967090" w:rsidP="00500D1D">
            <w:pPr>
              <w:spacing w:after="120"/>
              <w:rPr>
                <w:sz w:val="22"/>
                <w:szCs w:val="22"/>
              </w:rPr>
            </w:pPr>
            <w:r w:rsidRPr="004B77CA">
              <w:rPr>
                <w:sz w:val="22"/>
                <w:szCs w:val="22"/>
              </w:rPr>
              <w:t>Renovations and upgrade projects which improve premises</w:t>
            </w:r>
          </w:p>
        </w:tc>
        <w:tc>
          <w:tcPr>
            <w:tcW w:w="2660" w:type="dxa"/>
          </w:tcPr>
          <w:p w14:paraId="3682D0F2" w14:textId="60932CF5" w:rsidR="00967090" w:rsidRPr="004B77CA" w:rsidRDefault="00967090" w:rsidP="00500D1D">
            <w:pPr>
              <w:spacing w:after="120"/>
              <w:rPr>
                <w:sz w:val="22"/>
                <w:szCs w:val="22"/>
              </w:rPr>
            </w:pPr>
            <w:r w:rsidRPr="004B77CA">
              <w:rPr>
                <w:sz w:val="22"/>
                <w:szCs w:val="22"/>
              </w:rPr>
              <w:t>Proposals may be local but should be ‘tested’ wider to answer question ‘why project should be done’ (e.g. increased attendance)</w:t>
            </w:r>
          </w:p>
        </w:tc>
        <w:tc>
          <w:tcPr>
            <w:tcW w:w="3351" w:type="dxa"/>
          </w:tcPr>
          <w:p w14:paraId="5C5D6F96" w14:textId="77777777" w:rsidR="00516F1B" w:rsidRDefault="00967090" w:rsidP="00500D1D">
            <w:pPr>
              <w:spacing w:after="120"/>
              <w:rPr>
                <w:sz w:val="22"/>
                <w:szCs w:val="22"/>
              </w:rPr>
            </w:pPr>
            <w:r w:rsidRPr="004B77CA">
              <w:rPr>
                <w:sz w:val="22"/>
                <w:szCs w:val="22"/>
              </w:rPr>
              <w:t xml:space="preserve">Essential for Trustees to approve and ensure finance available (e.g. by appeal).  Timing with other projects needs coordination.  </w:t>
            </w:r>
          </w:p>
          <w:p w14:paraId="074E92B3" w14:textId="77777777" w:rsidR="00967090" w:rsidRDefault="00967090" w:rsidP="00500D1D">
            <w:pPr>
              <w:spacing w:after="120"/>
              <w:rPr>
                <w:sz w:val="22"/>
                <w:szCs w:val="22"/>
              </w:rPr>
            </w:pPr>
            <w:r w:rsidRPr="004B77CA">
              <w:rPr>
                <w:sz w:val="22"/>
                <w:szCs w:val="22"/>
              </w:rPr>
              <w:t xml:space="preserve">Management of project best done professionally. </w:t>
            </w:r>
          </w:p>
          <w:p w14:paraId="16D1060A" w14:textId="77777777" w:rsidR="00516F1B" w:rsidRDefault="00516F1B" w:rsidP="00500D1D">
            <w:pPr>
              <w:spacing w:after="120"/>
              <w:rPr>
                <w:sz w:val="22"/>
                <w:szCs w:val="22"/>
              </w:rPr>
            </w:pPr>
            <w:r>
              <w:rPr>
                <w:sz w:val="22"/>
                <w:szCs w:val="22"/>
              </w:rPr>
              <w:t>Planning consent can be complicated so best done professionally.</w:t>
            </w:r>
          </w:p>
          <w:p w14:paraId="5396A549" w14:textId="43E30E59" w:rsidR="00516F1B" w:rsidRPr="004B77CA" w:rsidRDefault="00516F1B" w:rsidP="00500D1D">
            <w:pPr>
              <w:spacing w:after="120"/>
              <w:rPr>
                <w:sz w:val="22"/>
                <w:szCs w:val="22"/>
              </w:rPr>
            </w:pPr>
            <w:r>
              <w:rPr>
                <w:sz w:val="22"/>
                <w:szCs w:val="22"/>
              </w:rPr>
              <w:t>Adequate budgeting requires experience.</w:t>
            </w:r>
          </w:p>
        </w:tc>
      </w:tr>
    </w:tbl>
    <w:p w14:paraId="03F3FF13" w14:textId="428D1D2C" w:rsidR="002600F6" w:rsidRDefault="002600F6" w:rsidP="00500D1D">
      <w:pPr>
        <w:spacing w:after="120"/>
      </w:pPr>
    </w:p>
    <w:p w14:paraId="0D4CA44D" w14:textId="74C6BDBF" w:rsidR="008E1FD3" w:rsidRDefault="008E1FD3">
      <w:pPr>
        <w:spacing w:after="160" w:line="259" w:lineRule="auto"/>
        <w:rPr>
          <w:b/>
          <w:bCs/>
        </w:rPr>
      </w:pPr>
    </w:p>
    <w:p w14:paraId="3E6BDCB1" w14:textId="3578E1DE" w:rsidR="00E624D8" w:rsidRDefault="00E624D8" w:rsidP="00E624D8">
      <w:pPr>
        <w:spacing w:line="259" w:lineRule="auto"/>
      </w:pPr>
      <w:r w:rsidRPr="00E624D8">
        <w:t>David Olver</w:t>
      </w:r>
    </w:p>
    <w:p w14:paraId="797DD2F1" w14:textId="1B31F8A4" w:rsidR="00E624D8" w:rsidRDefault="00E624D8" w:rsidP="00E624D8">
      <w:pPr>
        <w:spacing w:line="259" w:lineRule="auto"/>
      </w:pPr>
      <w:r>
        <w:t>20 June 2023</w:t>
      </w:r>
    </w:p>
    <w:p w14:paraId="671C7EE5" w14:textId="77777777" w:rsidR="00E624D8" w:rsidRPr="00E624D8" w:rsidRDefault="00E624D8" w:rsidP="00E624D8">
      <w:pPr>
        <w:spacing w:line="259" w:lineRule="auto"/>
      </w:pPr>
      <w:bookmarkStart w:id="0" w:name="_GoBack"/>
      <w:bookmarkEnd w:id="0"/>
    </w:p>
    <w:p w14:paraId="6B69E34B" w14:textId="77777777" w:rsidR="00FE6101" w:rsidRDefault="00FE6101">
      <w:pPr>
        <w:spacing w:after="160" w:line="259" w:lineRule="auto"/>
        <w:rPr>
          <w:b/>
          <w:bCs/>
        </w:rPr>
      </w:pPr>
      <w:r>
        <w:rPr>
          <w:b/>
          <w:bCs/>
        </w:rPr>
        <w:br w:type="page"/>
      </w:r>
    </w:p>
    <w:p w14:paraId="7E725F9C" w14:textId="5909E382" w:rsidR="004B77CA" w:rsidRDefault="004B77CA" w:rsidP="00CE3EF7">
      <w:pPr>
        <w:spacing w:after="120"/>
        <w:rPr>
          <w:b/>
          <w:bCs/>
        </w:rPr>
      </w:pPr>
      <w:r>
        <w:rPr>
          <w:b/>
          <w:bCs/>
        </w:rPr>
        <w:lastRenderedPageBreak/>
        <w:t>APPENDICES</w:t>
      </w:r>
    </w:p>
    <w:p w14:paraId="5D126BCD" w14:textId="3291F8A6" w:rsidR="00CE3EF7" w:rsidRDefault="004B77CA" w:rsidP="00CE3EF7">
      <w:pPr>
        <w:spacing w:after="120"/>
        <w:rPr>
          <w:b/>
          <w:bCs/>
        </w:rPr>
      </w:pPr>
      <w:r>
        <w:rPr>
          <w:b/>
          <w:bCs/>
        </w:rPr>
        <w:t xml:space="preserve">1.  </w:t>
      </w:r>
      <w:r w:rsidR="00F433CF">
        <w:rPr>
          <w:b/>
          <w:bCs/>
        </w:rPr>
        <w:t xml:space="preserve">Meeting Houses in </w:t>
      </w:r>
      <w:r w:rsidR="00CE3EF7" w:rsidRPr="00DD3E90">
        <w:rPr>
          <w:b/>
          <w:bCs/>
        </w:rPr>
        <w:t>QiY</w:t>
      </w:r>
    </w:p>
    <w:p w14:paraId="3B32046B" w14:textId="4AFC7F47" w:rsidR="008E1FD3" w:rsidRDefault="00855617" w:rsidP="00CE3EF7">
      <w:pPr>
        <w:spacing w:after="120"/>
      </w:pPr>
      <w:r>
        <w:t>There are</w:t>
      </w:r>
      <w:r w:rsidR="002600F6">
        <w:t xml:space="preserve"> 38 meetings in the QiY region which vary in size of membership from a handful to hundreds.  </w:t>
      </w:r>
      <w:r w:rsidR="00CE3EF7">
        <w:t>Th</w:t>
      </w:r>
      <w:r w:rsidR="00F433CF">
        <w:t xml:space="preserve">ere are 32 meeting houses </w:t>
      </w:r>
      <w:r w:rsidR="008446BE">
        <w:t>owned by Area Meetings</w:t>
      </w:r>
      <w:r w:rsidR="002600F6">
        <w:t xml:space="preserve">.  </w:t>
      </w:r>
      <w:r w:rsidR="008E1FD3">
        <w:t>But as the last column in the table below indicates, t</w:t>
      </w:r>
      <w:r w:rsidR="008446BE">
        <w:t xml:space="preserve">he distribution across the AMs is </w:t>
      </w:r>
      <w:r w:rsidR="008E1FD3">
        <w:t>far from uniform</w:t>
      </w:r>
      <w:r w:rsidR="008446BE">
        <w:t xml:space="preserve">.  </w:t>
      </w:r>
    </w:p>
    <w:p w14:paraId="332B6875" w14:textId="6FF593BF" w:rsidR="008446BE" w:rsidRDefault="008446BE" w:rsidP="00CE3EF7">
      <w:pPr>
        <w:spacing w:after="120"/>
      </w:pPr>
      <w:r>
        <w:t>Of the 6 meetings which do not own their meeting houses, Ackworth meeting house is owned by Ackworth School, Hope Valley uses the residential premises, and the other four rent premises</w:t>
      </w:r>
      <w:r w:rsidR="00BA16F4">
        <w:t xml:space="preserve"> (Halifax rent a room in the building which used to be the meeting house and was sold)</w:t>
      </w:r>
      <w:r>
        <w:t>.</w:t>
      </w:r>
    </w:p>
    <w:p w14:paraId="26BE70DD" w14:textId="6DAB40EA" w:rsidR="00CE3EF7" w:rsidRPr="0042175F" w:rsidRDefault="00CE3EF7" w:rsidP="00CE3EF7">
      <w:pPr>
        <w:spacing w:after="120"/>
      </w:pPr>
    </w:p>
    <w:tbl>
      <w:tblPr>
        <w:tblStyle w:val="TableGrid"/>
        <w:tblW w:w="8422" w:type="dxa"/>
        <w:tblLook w:val="04A0" w:firstRow="1" w:lastRow="0" w:firstColumn="1" w:lastColumn="0" w:noHBand="0" w:noVBand="1"/>
      </w:tblPr>
      <w:tblGrid>
        <w:gridCol w:w="2314"/>
        <w:gridCol w:w="1527"/>
        <w:gridCol w:w="1527"/>
        <w:gridCol w:w="1527"/>
        <w:gridCol w:w="1527"/>
      </w:tblGrid>
      <w:tr w:rsidR="00F433CF" w:rsidRPr="002808AB" w14:paraId="6556C694" w14:textId="77777777" w:rsidTr="00F433CF">
        <w:tc>
          <w:tcPr>
            <w:tcW w:w="2314" w:type="dxa"/>
          </w:tcPr>
          <w:p w14:paraId="72FC9C82" w14:textId="77777777" w:rsidR="00F433CF" w:rsidRPr="002808AB" w:rsidRDefault="00F433CF" w:rsidP="00F433CF">
            <w:pPr>
              <w:rPr>
                <w:szCs w:val="24"/>
              </w:rPr>
            </w:pPr>
            <w:r w:rsidRPr="002808AB">
              <w:rPr>
                <w:szCs w:val="24"/>
              </w:rPr>
              <w:t>Area Meeting</w:t>
            </w:r>
          </w:p>
        </w:tc>
        <w:tc>
          <w:tcPr>
            <w:tcW w:w="1527" w:type="dxa"/>
          </w:tcPr>
          <w:p w14:paraId="4A5BD6A6" w14:textId="01FCA838" w:rsidR="00F433CF" w:rsidRPr="002808AB" w:rsidRDefault="00F433CF" w:rsidP="00F433CF">
            <w:pPr>
              <w:rPr>
                <w:szCs w:val="24"/>
              </w:rPr>
            </w:pPr>
            <w:r w:rsidRPr="002808AB">
              <w:rPr>
                <w:szCs w:val="24"/>
              </w:rPr>
              <w:t>No of Meetings</w:t>
            </w:r>
          </w:p>
        </w:tc>
        <w:tc>
          <w:tcPr>
            <w:tcW w:w="1527" w:type="dxa"/>
          </w:tcPr>
          <w:p w14:paraId="3EB018D5" w14:textId="029E00C5" w:rsidR="00F433CF" w:rsidRPr="002808AB" w:rsidRDefault="00F433CF" w:rsidP="00F433CF">
            <w:pPr>
              <w:rPr>
                <w:szCs w:val="24"/>
              </w:rPr>
            </w:pPr>
            <w:r w:rsidRPr="002808AB">
              <w:rPr>
                <w:szCs w:val="24"/>
              </w:rPr>
              <w:t>No of Meeting Houses</w:t>
            </w:r>
          </w:p>
        </w:tc>
        <w:tc>
          <w:tcPr>
            <w:tcW w:w="1527" w:type="dxa"/>
          </w:tcPr>
          <w:p w14:paraId="4BC7D3AF" w14:textId="7C81BDBC" w:rsidR="00F433CF" w:rsidRPr="002808AB" w:rsidRDefault="00F433CF" w:rsidP="00F433CF">
            <w:pPr>
              <w:rPr>
                <w:szCs w:val="24"/>
              </w:rPr>
            </w:pPr>
            <w:r>
              <w:rPr>
                <w:szCs w:val="24"/>
              </w:rPr>
              <w:t>of which listed.</w:t>
            </w:r>
          </w:p>
        </w:tc>
        <w:tc>
          <w:tcPr>
            <w:tcW w:w="1527" w:type="dxa"/>
          </w:tcPr>
          <w:p w14:paraId="71921105" w14:textId="2C937AC0" w:rsidR="00F433CF" w:rsidRPr="002808AB" w:rsidRDefault="00F433CF" w:rsidP="00F433CF">
            <w:pPr>
              <w:rPr>
                <w:szCs w:val="24"/>
              </w:rPr>
            </w:pPr>
            <w:r>
              <w:rPr>
                <w:szCs w:val="24"/>
              </w:rPr>
              <w:t>No of members per meeting house</w:t>
            </w:r>
          </w:p>
        </w:tc>
      </w:tr>
      <w:tr w:rsidR="00F433CF" w:rsidRPr="002808AB" w14:paraId="34F0801D" w14:textId="77777777" w:rsidTr="00F433CF">
        <w:tc>
          <w:tcPr>
            <w:tcW w:w="2314" w:type="dxa"/>
          </w:tcPr>
          <w:p w14:paraId="4D0D0856" w14:textId="77777777" w:rsidR="00F433CF" w:rsidRPr="002808AB" w:rsidRDefault="00F433CF" w:rsidP="00F433CF">
            <w:pPr>
              <w:rPr>
                <w:szCs w:val="24"/>
              </w:rPr>
            </w:pPr>
            <w:r w:rsidRPr="002808AB">
              <w:rPr>
                <w:szCs w:val="24"/>
              </w:rPr>
              <w:t>Brighouse West Yorkshire</w:t>
            </w:r>
          </w:p>
        </w:tc>
        <w:tc>
          <w:tcPr>
            <w:tcW w:w="1527" w:type="dxa"/>
          </w:tcPr>
          <w:p w14:paraId="68A48A52" w14:textId="54CE2404" w:rsidR="00F433CF" w:rsidRPr="002808AB" w:rsidRDefault="00F433CF" w:rsidP="00F433CF">
            <w:pPr>
              <w:jc w:val="center"/>
              <w:rPr>
                <w:szCs w:val="24"/>
              </w:rPr>
            </w:pPr>
            <w:r w:rsidRPr="002808AB">
              <w:rPr>
                <w:szCs w:val="24"/>
              </w:rPr>
              <w:t>5</w:t>
            </w:r>
          </w:p>
        </w:tc>
        <w:tc>
          <w:tcPr>
            <w:tcW w:w="1527" w:type="dxa"/>
          </w:tcPr>
          <w:p w14:paraId="4160C137" w14:textId="029038A2" w:rsidR="00F433CF" w:rsidRPr="002808AB" w:rsidRDefault="00F433CF" w:rsidP="00F433CF">
            <w:pPr>
              <w:jc w:val="center"/>
              <w:rPr>
                <w:szCs w:val="24"/>
              </w:rPr>
            </w:pPr>
            <w:r w:rsidRPr="002808AB">
              <w:rPr>
                <w:szCs w:val="24"/>
              </w:rPr>
              <w:t>3</w:t>
            </w:r>
          </w:p>
        </w:tc>
        <w:tc>
          <w:tcPr>
            <w:tcW w:w="1527" w:type="dxa"/>
          </w:tcPr>
          <w:p w14:paraId="374B1783" w14:textId="1858E16A" w:rsidR="00F433CF" w:rsidRPr="002808AB" w:rsidRDefault="00F433CF" w:rsidP="00F433CF">
            <w:pPr>
              <w:jc w:val="center"/>
              <w:rPr>
                <w:szCs w:val="24"/>
              </w:rPr>
            </w:pPr>
            <w:r>
              <w:rPr>
                <w:szCs w:val="24"/>
              </w:rPr>
              <w:t>0</w:t>
            </w:r>
          </w:p>
        </w:tc>
        <w:tc>
          <w:tcPr>
            <w:tcW w:w="1527" w:type="dxa"/>
          </w:tcPr>
          <w:p w14:paraId="0805ACA7" w14:textId="08BCB8F4" w:rsidR="00F433CF" w:rsidRPr="002808AB" w:rsidRDefault="00F433CF" w:rsidP="00F433CF">
            <w:pPr>
              <w:jc w:val="center"/>
              <w:rPr>
                <w:szCs w:val="24"/>
              </w:rPr>
            </w:pPr>
            <w:r>
              <w:rPr>
                <w:szCs w:val="24"/>
              </w:rPr>
              <w:t>46</w:t>
            </w:r>
          </w:p>
        </w:tc>
      </w:tr>
      <w:tr w:rsidR="00F433CF" w:rsidRPr="002808AB" w14:paraId="01610D13" w14:textId="77777777" w:rsidTr="00F433CF">
        <w:tc>
          <w:tcPr>
            <w:tcW w:w="2314" w:type="dxa"/>
          </w:tcPr>
          <w:p w14:paraId="096F9B00" w14:textId="77777777" w:rsidR="00F433CF" w:rsidRPr="002808AB" w:rsidRDefault="00F433CF" w:rsidP="00F433CF">
            <w:pPr>
              <w:rPr>
                <w:szCs w:val="24"/>
              </w:rPr>
            </w:pPr>
            <w:r w:rsidRPr="002808AB">
              <w:rPr>
                <w:szCs w:val="24"/>
              </w:rPr>
              <w:t>Central Yorkshire</w:t>
            </w:r>
          </w:p>
        </w:tc>
        <w:tc>
          <w:tcPr>
            <w:tcW w:w="1527" w:type="dxa"/>
          </w:tcPr>
          <w:p w14:paraId="4B061B12" w14:textId="034885BA" w:rsidR="00F433CF" w:rsidRPr="002808AB" w:rsidRDefault="00F433CF" w:rsidP="00F433CF">
            <w:pPr>
              <w:jc w:val="center"/>
              <w:rPr>
                <w:szCs w:val="24"/>
              </w:rPr>
            </w:pPr>
            <w:r w:rsidRPr="002808AB">
              <w:rPr>
                <w:szCs w:val="24"/>
              </w:rPr>
              <w:t>6</w:t>
            </w:r>
          </w:p>
        </w:tc>
        <w:tc>
          <w:tcPr>
            <w:tcW w:w="1527" w:type="dxa"/>
          </w:tcPr>
          <w:p w14:paraId="54A31A3F" w14:textId="71D95D61" w:rsidR="00F433CF" w:rsidRPr="002808AB" w:rsidRDefault="00F433CF" w:rsidP="00F433CF">
            <w:pPr>
              <w:jc w:val="center"/>
              <w:rPr>
                <w:szCs w:val="24"/>
              </w:rPr>
            </w:pPr>
            <w:r w:rsidRPr="002808AB">
              <w:rPr>
                <w:szCs w:val="24"/>
              </w:rPr>
              <w:t>5</w:t>
            </w:r>
          </w:p>
        </w:tc>
        <w:tc>
          <w:tcPr>
            <w:tcW w:w="1527" w:type="dxa"/>
          </w:tcPr>
          <w:p w14:paraId="478FB480" w14:textId="24CC6CC3" w:rsidR="00F433CF" w:rsidRPr="002808AB" w:rsidRDefault="00F433CF" w:rsidP="00F433CF">
            <w:pPr>
              <w:jc w:val="center"/>
              <w:rPr>
                <w:szCs w:val="24"/>
              </w:rPr>
            </w:pPr>
            <w:r>
              <w:rPr>
                <w:szCs w:val="24"/>
              </w:rPr>
              <w:t>2</w:t>
            </w:r>
          </w:p>
        </w:tc>
        <w:tc>
          <w:tcPr>
            <w:tcW w:w="1527" w:type="dxa"/>
          </w:tcPr>
          <w:p w14:paraId="199A06E6" w14:textId="4241D185" w:rsidR="00F433CF" w:rsidRPr="002808AB" w:rsidRDefault="00F433CF" w:rsidP="00F433CF">
            <w:pPr>
              <w:jc w:val="center"/>
              <w:rPr>
                <w:szCs w:val="24"/>
              </w:rPr>
            </w:pPr>
            <w:r>
              <w:rPr>
                <w:szCs w:val="24"/>
              </w:rPr>
              <w:t>23</w:t>
            </w:r>
          </w:p>
        </w:tc>
      </w:tr>
      <w:tr w:rsidR="00F433CF" w:rsidRPr="002808AB" w14:paraId="403EBAE4" w14:textId="77777777" w:rsidTr="00F433CF">
        <w:tc>
          <w:tcPr>
            <w:tcW w:w="2314" w:type="dxa"/>
          </w:tcPr>
          <w:p w14:paraId="033F436F" w14:textId="77777777" w:rsidR="00F433CF" w:rsidRPr="002808AB" w:rsidRDefault="00F433CF" w:rsidP="00F433CF">
            <w:pPr>
              <w:rPr>
                <w:szCs w:val="24"/>
              </w:rPr>
            </w:pPr>
            <w:r w:rsidRPr="002808AB">
              <w:rPr>
                <w:szCs w:val="24"/>
              </w:rPr>
              <w:t>Craven &amp; Keighley</w:t>
            </w:r>
          </w:p>
        </w:tc>
        <w:tc>
          <w:tcPr>
            <w:tcW w:w="1527" w:type="dxa"/>
          </w:tcPr>
          <w:p w14:paraId="4B777E9A" w14:textId="103ED3A4" w:rsidR="00F433CF" w:rsidRPr="002808AB" w:rsidRDefault="00F433CF" w:rsidP="00F433CF">
            <w:pPr>
              <w:jc w:val="center"/>
              <w:rPr>
                <w:szCs w:val="24"/>
              </w:rPr>
            </w:pPr>
            <w:r w:rsidRPr="002808AB">
              <w:rPr>
                <w:szCs w:val="24"/>
              </w:rPr>
              <w:t>5</w:t>
            </w:r>
          </w:p>
        </w:tc>
        <w:tc>
          <w:tcPr>
            <w:tcW w:w="1527" w:type="dxa"/>
          </w:tcPr>
          <w:p w14:paraId="069B9071" w14:textId="3AE0461C" w:rsidR="00F433CF" w:rsidRPr="002808AB" w:rsidRDefault="00F433CF" w:rsidP="00F433CF">
            <w:pPr>
              <w:jc w:val="center"/>
              <w:rPr>
                <w:szCs w:val="24"/>
              </w:rPr>
            </w:pPr>
            <w:r w:rsidRPr="002808AB">
              <w:rPr>
                <w:szCs w:val="24"/>
              </w:rPr>
              <w:t>5</w:t>
            </w:r>
          </w:p>
        </w:tc>
        <w:tc>
          <w:tcPr>
            <w:tcW w:w="1527" w:type="dxa"/>
          </w:tcPr>
          <w:p w14:paraId="4A435BAD" w14:textId="517532BB" w:rsidR="00F433CF" w:rsidRPr="002808AB" w:rsidRDefault="00F433CF" w:rsidP="00F433CF">
            <w:pPr>
              <w:jc w:val="center"/>
              <w:rPr>
                <w:szCs w:val="24"/>
              </w:rPr>
            </w:pPr>
            <w:r>
              <w:rPr>
                <w:szCs w:val="24"/>
              </w:rPr>
              <w:t>4</w:t>
            </w:r>
          </w:p>
        </w:tc>
        <w:tc>
          <w:tcPr>
            <w:tcW w:w="1527" w:type="dxa"/>
          </w:tcPr>
          <w:p w14:paraId="2D0AAF46" w14:textId="61E47756" w:rsidR="00F433CF" w:rsidRPr="002808AB" w:rsidRDefault="00F433CF" w:rsidP="00F433CF">
            <w:pPr>
              <w:jc w:val="center"/>
              <w:rPr>
                <w:szCs w:val="24"/>
              </w:rPr>
            </w:pPr>
            <w:r>
              <w:rPr>
                <w:szCs w:val="24"/>
              </w:rPr>
              <w:t>23</w:t>
            </w:r>
          </w:p>
        </w:tc>
      </w:tr>
      <w:tr w:rsidR="00F433CF" w:rsidRPr="002808AB" w14:paraId="6403ABEC" w14:textId="77777777" w:rsidTr="00F433CF">
        <w:tc>
          <w:tcPr>
            <w:tcW w:w="2314" w:type="dxa"/>
          </w:tcPr>
          <w:p w14:paraId="41949FA9" w14:textId="77777777" w:rsidR="00F433CF" w:rsidRPr="002808AB" w:rsidRDefault="00F433CF" w:rsidP="00F433CF">
            <w:pPr>
              <w:rPr>
                <w:szCs w:val="24"/>
              </w:rPr>
            </w:pPr>
            <w:r w:rsidRPr="002808AB">
              <w:rPr>
                <w:szCs w:val="24"/>
              </w:rPr>
              <w:t>Leeds</w:t>
            </w:r>
          </w:p>
        </w:tc>
        <w:tc>
          <w:tcPr>
            <w:tcW w:w="1527" w:type="dxa"/>
          </w:tcPr>
          <w:p w14:paraId="4840AC0D" w14:textId="5549EE5B" w:rsidR="00F433CF" w:rsidRPr="002808AB" w:rsidRDefault="00F433CF" w:rsidP="00F433CF">
            <w:pPr>
              <w:jc w:val="center"/>
              <w:rPr>
                <w:szCs w:val="24"/>
              </w:rPr>
            </w:pPr>
            <w:r w:rsidRPr="002808AB">
              <w:rPr>
                <w:szCs w:val="24"/>
              </w:rPr>
              <w:t>6</w:t>
            </w:r>
          </w:p>
        </w:tc>
        <w:tc>
          <w:tcPr>
            <w:tcW w:w="1527" w:type="dxa"/>
          </w:tcPr>
          <w:p w14:paraId="566D3F4E" w14:textId="48EE821A" w:rsidR="00F433CF" w:rsidRPr="002808AB" w:rsidRDefault="00F433CF" w:rsidP="00F433CF">
            <w:pPr>
              <w:jc w:val="center"/>
              <w:rPr>
                <w:szCs w:val="24"/>
              </w:rPr>
            </w:pPr>
            <w:r w:rsidRPr="002808AB">
              <w:rPr>
                <w:szCs w:val="24"/>
              </w:rPr>
              <w:t>6</w:t>
            </w:r>
          </w:p>
        </w:tc>
        <w:tc>
          <w:tcPr>
            <w:tcW w:w="1527" w:type="dxa"/>
          </w:tcPr>
          <w:p w14:paraId="25A1AA68" w14:textId="18280B20" w:rsidR="00F433CF" w:rsidRPr="002808AB" w:rsidRDefault="00F433CF" w:rsidP="00F433CF">
            <w:pPr>
              <w:jc w:val="center"/>
              <w:rPr>
                <w:szCs w:val="24"/>
              </w:rPr>
            </w:pPr>
            <w:r>
              <w:rPr>
                <w:szCs w:val="24"/>
              </w:rPr>
              <w:t>2</w:t>
            </w:r>
          </w:p>
        </w:tc>
        <w:tc>
          <w:tcPr>
            <w:tcW w:w="1527" w:type="dxa"/>
          </w:tcPr>
          <w:p w14:paraId="7DBDE045" w14:textId="199F6DAE" w:rsidR="00F433CF" w:rsidRPr="002808AB" w:rsidRDefault="00F433CF" w:rsidP="00F433CF">
            <w:pPr>
              <w:jc w:val="center"/>
              <w:rPr>
                <w:szCs w:val="24"/>
              </w:rPr>
            </w:pPr>
            <w:r>
              <w:rPr>
                <w:szCs w:val="24"/>
              </w:rPr>
              <w:t>29</w:t>
            </w:r>
          </w:p>
        </w:tc>
      </w:tr>
      <w:tr w:rsidR="00F433CF" w:rsidRPr="002808AB" w14:paraId="748EC61B" w14:textId="77777777" w:rsidTr="00F433CF">
        <w:tc>
          <w:tcPr>
            <w:tcW w:w="2314" w:type="dxa"/>
          </w:tcPr>
          <w:p w14:paraId="7BE75B71" w14:textId="77777777" w:rsidR="00F433CF" w:rsidRPr="002808AB" w:rsidRDefault="00F433CF" w:rsidP="00F433CF">
            <w:pPr>
              <w:rPr>
                <w:szCs w:val="24"/>
              </w:rPr>
            </w:pPr>
            <w:r w:rsidRPr="002808AB">
              <w:rPr>
                <w:szCs w:val="24"/>
              </w:rPr>
              <w:t>Pickering and Hull</w:t>
            </w:r>
          </w:p>
        </w:tc>
        <w:tc>
          <w:tcPr>
            <w:tcW w:w="1527" w:type="dxa"/>
          </w:tcPr>
          <w:p w14:paraId="7164F8C6" w14:textId="1049F73F" w:rsidR="00F433CF" w:rsidRPr="002808AB" w:rsidRDefault="00F433CF" w:rsidP="00F433CF">
            <w:pPr>
              <w:jc w:val="center"/>
              <w:rPr>
                <w:szCs w:val="24"/>
              </w:rPr>
            </w:pPr>
            <w:r w:rsidRPr="002808AB">
              <w:rPr>
                <w:szCs w:val="24"/>
              </w:rPr>
              <w:t>7</w:t>
            </w:r>
          </w:p>
        </w:tc>
        <w:tc>
          <w:tcPr>
            <w:tcW w:w="1527" w:type="dxa"/>
          </w:tcPr>
          <w:p w14:paraId="1EE524F1" w14:textId="010208CC" w:rsidR="00F433CF" w:rsidRPr="002808AB" w:rsidRDefault="00F433CF" w:rsidP="00F433CF">
            <w:pPr>
              <w:jc w:val="center"/>
              <w:rPr>
                <w:szCs w:val="24"/>
              </w:rPr>
            </w:pPr>
            <w:r w:rsidRPr="002808AB">
              <w:rPr>
                <w:szCs w:val="24"/>
              </w:rPr>
              <w:t>6</w:t>
            </w:r>
          </w:p>
        </w:tc>
        <w:tc>
          <w:tcPr>
            <w:tcW w:w="1527" w:type="dxa"/>
          </w:tcPr>
          <w:p w14:paraId="67F942BA" w14:textId="533F8046" w:rsidR="00F433CF" w:rsidRPr="002808AB" w:rsidRDefault="00F433CF" w:rsidP="00F433CF">
            <w:pPr>
              <w:jc w:val="center"/>
              <w:rPr>
                <w:szCs w:val="24"/>
              </w:rPr>
            </w:pPr>
            <w:r>
              <w:rPr>
                <w:szCs w:val="24"/>
              </w:rPr>
              <w:t>3</w:t>
            </w:r>
          </w:p>
        </w:tc>
        <w:tc>
          <w:tcPr>
            <w:tcW w:w="1527" w:type="dxa"/>
          </w:tcPr>
          <w:p w14:paraId="75ABEEAA" w14:textId="5E9CF0BA" w:rsidR="00F433CF" w:rsidRPr="002808AB" w:rsidRDefault="00F433CF" w:rsidP="00F433CF">
            <w:pPr>
              <w:jc w:val="center"/>
              <w:rPr>
                <w:szCs w:val="24"/>
              </w:rPr>
            </w:pPr>
            <w:r>
              <w:rPr>
                <w:szCs w:val="24"/>
              </w:rPr>
              <w:t>26</w:t>
            </w:r>
          </w:p>
        </w:tc>
      </w:tr>
      <w:tr w:rsidR="00F433CF" w:rsidRPr="002808AB" w14:paraId="329EA77E" w14:textId="77777777" w:rsidTr="00F433CF">
        <w:tc>
          <w:tcPr>
            <w:tcW w:w="2314" w:type="dxa"/>
          </w:tcPr>
          <w:p w14:paraId="2452DE37" w14:textId="77777777" w:rsidR="00F433CF" w:rsidRPr="002808AB" w:rsidRDefault="00F433CF" w:rsidP="00F433CF">
            <w:pPr>
              <w:rPr>
                <w:szCs w:val="24"/>
              </w:rPr>
            </w:pPr>
            <w:r w:rsidRPr="002808AB">
              <w:rPr>
                <w:szCs w:val="24"/>
              </w:rPr>
              <w:t>Sheffield and Balby</w:t>
            </w:r>
          </w:p>
        </w:tc>
        <w:tc>
          <w:tcPr>
            <w:tcW w:w="1527" w:type="dxa"/>
          </w:tcPr>
          <w:p w14:paraId="66E1477B" w14:textId="009EEBBB" w:rsidR="00F433CF" w:rsidRPr="002808AB" w:rsidRDefault="00F433CF" w:rsidP="00F433CF">
            <w:pPr>
              <w:jc w:val="center"/>
              <w:rPr>
                <w:szCs w:val="24"/>
              </w:rPr>
            </w:pPr>
            <w:r w:rsidRPr="002808AB">
              <w:rPr>
                <w:szCs w:val="24"/>
              </w:rPr>
              <w:t>4</w:t>
            </w:r>
          </w:p>
        </w:tc>
        <w:tc>
          <w:tcPr>
            <w:tcW w:w="1527" w:type="dxa"/>
          </w:tcPr>
          <w:p w14:paraId="0466EE0E" w14:textId="46183C6C" w:rsidR="00F433CF" w:rsidRPr="002808AB" w:rsidRDefault="00F433CF" w:rsidP="00F433CF">
            <w:pPr>
              <w:jc w:val="center"/>
              <w:rPr>
                <w:szCs w:val="24"/>
              </w:rPr>
            </w:pPr>
            <w:r w:rsidRPr="002808AB">
              <w:rPr>
                <w:szCs w:val="24"/>
              </w:rPr>
              <w:t>2</w:t>
            </w:r>
          </w:p>
        </w:tc>
        <w:tc>
          <w:tcPr>
            <w:tcW w:w="1527" w:type="dxa"/>
          </w:tcPr>
          <w:p w14:paraId="6DCEF228" w14:textId="4628D95E" w:rsidR="00F433CF" w:rsidRPr="002808AB" w:rsidRDefault="00F433CF" w:rsidP="00F433CF">
            <w:pPr>
              <w:jc w:val="center"/>
              <w:rPr>
                <w:szCs w:val="24"/>
              </w:rPr>
            </w:pPr>
            <w:r>
              <w:rPr>
                <w:szCs w:val="24"/>
              </w:rPr>
              <w:t>0</w:t>
            </w:r>
          </w:p>
        </w:tc>
        <w:tc>
          <w:tcPr>
            <w:tcW w:w="1527" w:type="dxa"/>
          </w:tcPr>
          <w:p w14:paraId="1A23A6BF" w14:textId="3C6A7A75" w:rsidR="00F433CF" w:rsidRPr="002808AB" w:rsidRDefault="00F433CF" w:rsidP="00F433CF">
            <w:pPr>
              <w:jc w:val="center"/>
              <w:rPr>
                <w:szCs w:val="24"/>
              </w:rPr>
            </w:pPr>
            <w:r>
              <w:rPr>
                <w:szCs w:val="24"/>
              </w:rPr>
              <w:t>107</w:t>
            </w:r>
          </w:p>
        </w:tc>
      </w:tr>
      <w:tr w:rsidR="00F433CF" w:rsidRPr="002808AB" w14:paraId="2B636614" w14:textId="77777777" w:rsidTr="00F433CF">
        <w:tc>
          <w:tcPr>
            <w:tcW w:w="2314" w:type="dxa"/>
          </w:tcPr>
          <w:p w14:paraId="0B8C693D" w14:textId="77777777" w:rsidR="00F433CF" w:rsidRPr="002808AB" w:rsidRDefault="00F433CF" w:rsidP="00F433CF">
            <w:pPr>
              <w:rPr>
                <w:szCs w:val="24"/>
              </w:rPr>
            </w:pPr>
            <w:r w:rsidRPr="002808AB">
              <w:rPr>
                <w:szCs w:val="24"/>
              </w:rPr>
              <w:t>York</w:t>
            </w:r>
          </w:p>
        </w:tc>
        <w:tc>
          <w:tcPr>
            <w:tcW w:w="1527" w:type="dxa"/>
          </w:tcPr>
          <w:p w14:paraId="2E9BC945" w14:textId="6BC60F1E" w:rsidR="00F433CF" w:rsidRPr="002808AB" w:rsidRDefault="00F433CF" w:rsidP="00F433CF">
            <w:pPr>
              <w:jc w:val="center"/>
              <w:rPr>
                <w:szCs w:val="24"/>
              </w:rPr>
            </w:pPr>
            <w:r w:rsidRPr="002808AB">
              <w:rPr>
                <w:szCs w:val="24"/>
              </w:rPr>
              <w:t>5</w:t>
            </w:r>
          </w:p>
        </w:tc>
        <w:tc>
          <w:tcPr>
            <w:tcW w:w="1527" w:type="dxa"/>
          </w:tcPr>
          <w:p w14:paraId="2670FE90" w14:textId="2AD2CB8F" w:rsidR="00F433CF" w:rsidRPr="002808AB" w:rsidRDefault="00F433CF" w:rsidP="00F433CF">
            <w:pPr>
              <w:jc w:val="center"/>
              <w:rPr>
                <w:szCs w:val="24"/>
              </w:rPr>
            </w:pPr>
            <w:r w:rsidRPr="002808AB">
              <w:rPr>
                <w:szCs w:val="24"/>
              </w:rPr>
              <w:t>5</w:t>
            </w:r>
          </w:p>
        </w:tc>
        <w:tc>
          <w:tcPr>
            <w:tcW w:w="1527" w:type="dxa"/>
          </w:tcPr>
          <w:p w14:paraId="4C4EBB11" w14:textId="2827C01E" w:rsidR="00F433CF" w:rsidRPr="002808AB" w:rsidRDefault="00F433CF" w:rsidP="00F433CF">
            <w:pPr>
              <w:jc w:val="center"/>
              <w:rPr>
                <w:szCs w:val="24"/>
              </w:rPr>
            </w:pPr>
            <w:r>
              <w:rPr>
                <w:szCs w:val="24"/>
              </w:rPr>
              <w:t>1</w:t>
            </w:r>
          </w:p>
        </w:tc>
        <w:tc>
          <w:tcPr>
            <w:tcW w:w="1527" w:type="dxa"/>
          </w:tcPr>
          <w:p w14:paraId="24AE022F" w14:textId="06A0E512" w:rsidR="00F433CF" w:rsidRPr="002808AB" w:rsidRDefault="00F433CF" w:rsidP="00F433CF">
            <w:pPr>
              <w:jc w:val="center"/>
              <w:rPr>
                <w:szCs w:val="24"/>
              </w:rPr>
            </w:pPr>
            <w:r>
              <w:rPr>
                <w:szCs w:val="24"/>
              </w:rPr>
              <w:t>84</w:t>
            </w:r>
          </w:p>
        </w:tc>
      </w:tr>
      <w:tr w:rsidR="00F433CF" w:rsidRPr="002808AB" w14:paraId="696E5D25" w14:textId="77777777" w:rsidTr="00F433CF">
        <w:tc>
          <w:tcPr>
            <w:tcW w:w="2314" w:type="dxa"/>
          </w:tcPr>
          <w:p w14:paraId="1F4FE2FC" w14:textId="77777777" w:rsidR="00F433CF" w:rsidRPr="002808AB" w:rsidRDefault="00F433CF" w:rsidP="00F433CF">
            <w:pPr>
              <w:rPr>
                <w:szCs w:val="24"/>
              </w:rPr>
            </w:pPr>
          </w:p>
        </w:tc>
        <w:tc>
          <w:tcPr>
            <w:tcW w:w="1527" w:type="dxa"/>
          </w:tcPr>
          <w:p w14:paraId="768E95A8" w14:textId="77777777" w:rsidR="00F433CF" w:rsidRPr="002808AB" w:rsidRDefault="00F433CF" w:rsidP="00F433CF">
            <w:pPr>
              <w:jc w:val="center"/>
              <w:rPr>
                <w:szCs w:val="24"/>
              </w:rPr>
            </w:pPr>
          </w:p>
        </w:tc>
        <w:tc>
          <w:tcPr>
            <w:tcW w:w="1527" w:type="dxa"/>
          </w:tcPr>
          <w:p w14:paraId="2E0C5A84" w14:textId="77777777" w:rsidR="00F433CF" w:rsidRPr="002808AB" w:rsidRDefault="00F433CF" w:rsidP="00F433CF">
            <w:pPr>
              <w:jc w:val="center"/>
              <w:rPr>
                <w:szCs w:val="24"/>
              </w:rPr>
            </w:pPr>
          </w:p>
        </w:tc>
        <w:tc>
          <w:tcPr>
            <w:tcW w:w="1527" w:type="dxa"/>
          </w:tcPr>
          <w:p w14:paraId="48E29E07" w14:textId="77777777" w:rsidR="00F433CF" w:rsidRPr="002808AB" w:rsidRDefault="00F433CF" w:rsidP="00F433CF">
            <w:pPr>
              <w:jc w:val="center"/>
              <w:rPr>
                <w:szCs w:val="24"/>
              </w:rPr>
            </w:pPr>
          </w:p>
        </w:tc>
        <w:tc>
          <w:tcPr>
            <w:tcW w:w="1527" w:type="dxa"/>
          </w:tcPr>
          <w:p w14:paraId="56C3AF98" w14:textId="036B5D30" w:rsidR="00F433CF" w:rsidRPr="002808AB" w:rsidRDefault="00F433CF" w:rsidP="00F433CF">
            <w:pPr>
              <w:jc w:val="center"/>
              <w:rPr>
                <w:szCs w:val="24"/>
              </w:rPr>
            </w:pPr>
          </w:p>
        </w:tc>
      </w:tr>
      <w:tr w:rsidR="00F433CF" w:rsidRPr="002808AB" w14:paraId="74EB32BF" w14:textId="77777777" w:rsidTr="00F433CF">
        <w:tc>
          <w:tcPr>
            <w:tcW w:w="2314" w:type="dxa"/>
          </w:tcPr>
          <w:p w14:paraId="49F84163" w14:textId="77777777" w:rsidR="00F433CF" w:rsidRPr="00C87D74" w:rsidRDefault="00F433CF" w:rsidP="00F433CF">
            <w:pPr>
              <w:rPr>
                <w:b/>
                <w:bCs/>
                <w:szCs w:val="24"/>
              </w:rPr>
            </w:pPr>
            <w:r w:rsidRPr="00C87D74">
              <w:rPr>
                <w:b/>
                <w:bCs/>
                <w:szCs w:val="24"/>
              </w:rPr>
              <w:t>Totals</w:t>
            </w:r>
          </w:p>
        </w:tc>
        <w:tc>
          <w:tcPr>
            <w:tcW w:w="1527" w:type="dxa"/>
          </w:tcPr>
          <w:p w14:paraId="2717AB3C" w14:textId="283ED5DB" w:rsidR="00F433CF" w:rsidRPr="00C87D74" w:rsidRDefault="00F433CF" w:rsidP="00F433CF">
            <w:pPr>
              <w:jc w:val="center"/>
              <w:rPr>
                <w:b/>
                <w:bCs/>
                <w:szCs w:val="24"/>
              </w:rPr>
            </w:pPr>
            <w:r w:rsidRPr="00C87D74">
              <w:rPr>
                <w:b/>
                <w:bCs/>
                <w:szCs w:val="24"/>
              </w:rPr>
              <w:t>38</w:t>
            </w:r>
          </w:p>
        </w:tc>
        <w:tc>
          <w:tcPr>
            <w:tcW w:w="1527" w:type="dxa"/>
          </w:tcPr>
          <w:p w14:paraId="3747847E" w14:textId="73D80776" w:rsidR="00F433CF" w:rsidRPr="00C87D74" w:rsidRDefault="00F433CF" w:rsidP="00F433CF">
            <w:pPr>
              <w:jc w:val="center"/>
              <w:rPr>
                <w:b/>
                <w:bCs/>
                <w:szCs w:val="24"/>
              </w:rPr>
            </w:pPr>
            <w:r w:rsidRPr="00C87D74">
              <w:rPr>
                <w:b/>
                <w:bCs/>
                <w:szCs w:val="24"/>
              </w:rPr>
              <w:t>32</w:t>
            </w:r>
          </w:p>
        </w:tc>
        <w:tc>
          <w:tcPr>
            <w:tcW w:w="1527" w:type="dxa"/>
          </w:tcPr>
          <w:p w14:paraId="6B7B2AC7" w14:textId="180217FE" w:rsidR="00F433CF" w:rsidRPr="00C87D74" w:rsidRDefault="00F433CF" w:rsidP="00F433CF">
            <w:pPr>
              <w:jc w:val="center"/>
              <w:rPr>
                <w:b/>
                <w:bCs/>
                <w:szCs w:val="24"/>
              </w:rPr>
            </w:pPr>
            <w:r w:rsidRPr="00C87D74">
              <w:rPr>
                <w:b/>
                <w:bCs/>
                <w:szCs w:val="24"/>
              </w:rPr>
              <w:t>12</w:t>
            </w:r>
          </w:p>
        </w:tc>
        <w:tc>
          <w:tcPr>
            <w:tcW w:w="1527" w:type="dxa"/>
          </w:tcPr>
          <w:p w14:paraId="53F150D9" w14:textId="38D55719" w:rsidR="00F433CF" w:rsidRPr="00C87D74" w:rsidRDefault="00F433CF" w:rsidP="00F433CF">
            <w:pPr>
              <w:jc w:val="center"/>
              <w:rPr>
                <w:b/>
                <w:bCs/>
                <w:szCs w:val="24"/>
              </w:rPr>
            </w:pPr>
          </w:p>
        </w:tc>
      </w:tr>
    </w:tbl>
    <w:p w14:paraId="7E06BE6C" w14:textId="77777777" w:rsidR="00CE3EF7" w:rsidRDefault="00CE3EF7" w:rsidP="00CE3EF7">
      <w:pPr>
        <w:spacing w:after="120"/>
      </w:pPr>
    </w:p>
    <w:p w14:paraId="22232357" w14:textId="08E0446E" w:rsidR="00DF587A" w:rsidRDefault="00DF587A">
      <w:pPr>
        <w:spacing w:after="160" w:line="259" w:lineRule="auto"/>
      </w:pPr>
    </w:p>
    <w:p w14:paraId="27F77A32" w14:textId="74171DE1" w:rsidR="00C87D74" w:rsidRDefault="004B77CA" w:rsidP="00C87D74">
      <w:pPr>
        <w:spacing w:after="160" w:line="259" w:lineRule="auto"/>
      </w:pPr>
      <w:r>
        <w:rPr>
          <w:b/>
          <w:bCs/>
        </w:rPr>
        <w:t xml:space="preserve">2.  </w:t>
      </w:r>
      <w:r w:rsidR="00DF587A">
        <w:rPr>
          <w:b/>
          <w:bCs/>
        </w:rPr>
        <w:t>London Quaker Property Trust</w:t>
      </w:r>
    </w:p>
    <w:p w14:paraId="202BCEB0" w14:textId="1418ACE9" w:rsidR="00DF587A" w:rsidRDefault="00DF587A" w:rsidP="00C87D74">
      <w:pPr>
        <w:spacing w:after="160" w:line="259" w:lineRule="auto"/>
      </w:pPr>
      <w:r>
        <w:t>T</w:t>
      </w:r>
      <w:r w:rsidRPr="00DF587A">
        <w:t xml:space="preserve">he </w:t>
      </w:r>
      <w:r w:rsidR="00C96777" w:rsidRPr="00C96777">
        <w:t>London Quaker Property Trust</w:t>
      </w:r>
      <w:r w:rsidR="00C96777">
        <w:t xml:space="preserve"> (</w:t>
      </w:r>
      <w:proofErr w:type="spellStart"/>
      <w:r w:rsidRPr="00DF587A">
        <w:t>LQPT</w:t>
      </w:r>
      <w:proofErr w:type="spellEnd"/>
      <w:r w:rsidR="00C96777">
        <w:t>)</w:t>
      </w:r>
      <w:r w:rsidRPr="00DF587A">
        <w:t xml:space="preserve"> is a charity and holds the Quaker Meeting Houses and some associated accommodation in trust for the seven London Area Meetings, each of which covers a geographical segment of Greater London. </w:t>
      </w:r>
    </w:p>
    <w:p w14:paraId="02557CD7" w14:textId="6FD2D5F5" w:rsidR="00DF587A" w:rsidRDefault="00C96777" w:rsidP="00C87D74">
      <w:pPr>
        <w:spacing w:after="160" w:line="259" w:lineRule="auto"/>
      </w:pPr>
      <w:r>
        <w:t xml:space="preserve">There are </w:t>
      </w:r>
      <w:r w:rsidR="00DF587A">
        <w:t>30 active meeting houses</w:t>
      </w:r>
      <w:r>
        <w:t xml:space="preserve">; </w:t>
      </w:r>
      <w:r w:rsidR="00DF587A">
        <w:t xml:space="preserve">3 ex-meeting houses where </w:t>
      </w:r>
      <w:proofErr w:type="spellStart"/>
      <w:r w:rsidR="00DF587A">
        <w:t>LQPT</w:t>
      </w:r>
      <w:proofErr w:type="spellEnd"/>
      <w:r w:rsidR="00DF587A">
        <w:t xml:space="preserve"> still owns the property</w:t>
      </w:r>
      <w:r>
        <w:t xml:space="preserve">; and </w:t>
      </w:r>
      <w:r w:rsidR="00DF587A">
        <w:t xml:space="preserve">16 other properties, some of which are warden’s accommodation, the others provide </w:t>
      </w:r>
      <w:r>
        <w:t xml:space="preserve">rental </w:t>
      </w:r>
      <w:r w:rsidR="00DF587A">
        <w:t>income.</w:t>
      </w:r>
    </w:p>
    <w:p w14:paraId="7B70F1EB" w14:textId="73A00BDF" w:rsidR="007376E8" w:rsidRDefault="00C96777" w:rsidP="00C87D74">
      <w:pPr>
        <w:spacing w:after="160" w:line="259" w:lineRule="auto"/>
      </w:pPr>
      <w:r>
        <w:t>T</w:t>
      </w:r>
      <w:r w:rsidR="007376E8" w:rsidRPr="007376E8">
        <w:t xml:space="preserve">he seven Area Meetings are each asked to provide two or three members to become </w:t>
      </w:r>
      <w:proofErr w:type="spellStart"/>
      <w:r w:rsidR="007376E8" w:rsidRPr="007376E8">
        <w:t>LQPT</w:t>
      </w:r>
      <w:proofErr w:type="spellEnd"/>
      <w:r w:rsidR="007376E8" w:rsidRPr="007376E8">
        <w:t xml:space="preserve"> Trustees</w:t>
      </w:r>
      <w:r w:rsidR="008E1FD3">
        <w:t xml:space="preserve">.  There is a </w:t>
      </w:r>
      <w:r w:rsidR="007376E8" w:rsidRPr="007376E8">
        <w:t xml:space="preserve">small secretariat based at Friends House. This comprises: </w:t>
      </w:r>
    </w:p>
    <w:p w14:paraId="1F79C9A2" w14:textId="77777777" w:rsidR="00C96777" w:rsidRDefault="007376E8" w:rsidP="00B6247E">
      <w:pPr>
        <w:pStyle w:val="ListParagraph"/>
        <w:numPr>
          <w:ilvl w:val="0"/>
          <w:numId w:val="3"/>
        </w:numPr>
        <w:spacing w:after="160" w:line="259" w:lineRule="auto"/>
      </w:pPr>
      <w:r w:rsidRPr="007376E8">
        <w:t>Premises Committee Support Officer who can provide advice and assistance at a local level</w:t>
      </w:r>
      <w:r w:rsidR="00C96777">
        <w:t xml:space="preserve">; </w:t>
      </w:r>
    </w:p>
    <w:p w14:paraId="40E27116" w14:textId="77777777" w:rsidR="00C96777" w:rsidRDefault="007376E8" w:rsidP="00013E46">
      <w:pPr>
        <w:pStyle w:val="ListParagraph"/>
        <w:numPr>
          <w:ilvl w:val="0"/>
          <w:numId w:val="3"/>
        </w:numPr>
        <w:spacing w:after="160" w:line="259" w:lineRule="auto"/>
      </w:pPr>
      <w:r w:rsidRPr="007376E8">
        <w:t>Finance and Administration Officer who is responsible for all financial matters</w:t>
      </w:r>
      <w:r w:rsidR="00C96777">
        <w:t>;</w:t>
      </w:r>
    </w:p>
    <w:p w14:paraId="17C8497D" w14:textId="7488D864" w:rsidR="007376E8" w:rsidRDefault="007376E8" w:rsidP="00013E46">
      <w:pPr>
        <w:pStyle w:val="ListParagraph"/>
        <w:numPr>
          <w:ilvl w:val="0"/>
          <w:numId w:val="3"/>
        </w:numPr>
        <w:spacing w:after="160" w:line="259" w:lineRule="auto"/>
      </w:pPr>
      <w:r w:rsidRPr="007376E8">
        <w:t>Senior Manager who has overall and policy responsibility</w:t>
      </w:r>
    </w:p>
    <w:p w14:paraId="7432C606" w14:textId="05B29F5E" w:rsidR="007376E8" w:rsidRDefault="007376E8" w:rsidP="00C87D74">
      <w:pPr>
        <w:spacing w:after="160" w:line="259" w:lineRule="auto"/>
      </w:pPr>
      <w:r>
        <w:t>T</w:t>
      </w:r>
      <w:r w:rsidRPr="007376E8">
        <w:t xml:space="preserve">he </w:t>
      </w:r>
      <w:proofErr w:type="spellStart"/>
      <w:r w:rsidRPr="007376E8">
        <w:t>LQPT</w:t>
      </w:r>
      <w:proofErr w:type="spellEnd"/>
      <w:r w:rsidRPr="007376E8">
        <w:t xml:space="preserve"> acts as a shared resource whereby relevant income from each Area Meeting is pooled with that of the other six. The income comes from three sources: </w:t>
      </w:r>
    </w:p>
    <w:p w14:paraId="0ABB2941" w14:textId="77777777" w:rsidR="00C96777" w:rsidRDefault="007376E8" w:rsidP="00064C93">
      <w:pPr>
        <w:pStyle w:val="ListParagraph"/>
        <w:numPr>
          <w:ilvl w:val="0"/>
          <w:numId w:val="4"/>
        </w:numPr>
        <w:spacing w:after="160" w:line="259" w:lineRule="auto"/>
      </w:pPr>
      <w:r w:rsidRPr="007376E8">
        <w:lastRenderedPageBreak/>
        <w:t>The Quota – an annual contribution determined according to the number of Members in each Area Meeting, paid out of Area Meeting funds</w:t>
      </w:r>
      <w:r w:rsidR="00C96777">
        <w:t xml:space="preserve">; </w:t>
      </w:r>
    </w:p>
    <w:p w14:paraId="30CAFCF9" w14:textId="77777777" w:rsidR="00C96777" w:rsidRDefault="007376E8" w:rsidP="00576E49">
      <w:pPr>
        <w:pStyle w:val="ListParagraph"/>
        <w:numPr>
          <w:ilvl w:val="0"/>
          <w:numId w:val="4"/>
        </w:numPr>
        <w:spacing w:after="160" w:line="259" w:lineRule="auto"/>
      </w:pPr>
      <w:r w:rsidRPr="007376E8">
        <w:t xml:space="preserve">Room hire – groups and individuals hire rooms in Meeting Houses and the income is collected by Local Meetings on behalf of </w:t>
      </w:r>
      <w:proofErr w:type="spellStart"/>
      <w:r w:rsidRPr="007376E8">
        <w:t>LQPT</w:t>
      </w:r>
      <w:proofErr w:type="spellEnd"/>
      <w:r w:rsidR="00C96777">
        <w:t xml:space="preserve">; </w:t>
      </w:r>
    </w:p>
    <w:p w14:paraId="4B908568" w14:textId="2A2D8EC6" w:rsidR="007376E8" w:rsidRDefault="007376E8" w:rsidP="00576E49">
      <w:pPr>
        <w:pStyle w:val="ListParagraph"/>
        <w:numPr>
          <w:ilvl w:val="0"/>
          <w:numId w:val="4"/>
        </w:numPr>
        <w:spacing w:after="160" w:line="259" w:lineRule="auto"/>
      </w:pPr>
      <w:r>
        <w:t>Accommodation – rents from flats and houses</w:t>
      </w:r>
    </w:p>
    <w:p w14:paraId="3711A92D" w14:textId="15771562" w:rsidR="007376E8" w:rsidRDefault="007376E8" w:rsidP="00C87D74">
      <w:pPr>
        <w:spacing w:after="160" w:line="259" w:lineRule="auto"/>
      </w:pPr>
      <w:r w:rsidRPr="007376E8">
        <w:t xml:space="preserve">The expenditure of the </w:t>
      </w:r>
      <w:proofErr w:type="spellStart"/>
      <w:r w:rsidRPr="007376E8">
        <w:t>LQPT</w:t>
      </w:r>
      <w:proofErr w:type="spellEnd"/>
      <w:r w:rsidRPr="007376E8">
        <w:t xml:space="preserve"> is allocated according to need.  How the expenditure is disbursed is determined by the </w:t>
      </w:r>
      <w:proofErr w:type="spellStart"/>
      <w:r w:rsidRPr="007376E8">
        <w:t>LQPT</w:t>
      </w:r>
      <w:proofErr w:type="spellEnd"/>
      <w:r w:rsidRPr="007376E8">
        <w:t xml:space="preserve"> Trustees informed by the </w:t>
      </w:r>
      <w:proofErr w:type="spellStart"/>
      <w:r w:rsidRPr="007376E8">
        <w:t>LQPT</w:t>
      </w:r>
      <w:proofErr w:type="spellEnd"/>
      <w:r w:rsidRPr="007376E8">
        <w:t xml:space="preserve"> management. </w:t>
      </w:r>
    </w:p>
    <w:p w14:paraId="4BE2C883" w14:textId="4B5FC5B9" w:rsidR="007376E8" w:rsidRDefault="00B0721F" w:rsidP="00C87D74">
      <w:pPr>
        <w:spacing w:after="160" w:line="259" w:lineRule="auto"/>
      </w:pPr>
      <w:r>
        <w:t xml:space="preserve">Each Meeting with a meeting house has a Premises Committee – which is answerable to </w:t>
      </w:r>
      <w:proofErr w:type="spellStart"/>
      <w:r>
        <w:t>LQPT</w:t>
      </w:r>
      <w:proofErr w:type="spellEnd"/>
      <w:r>
        <w:t>, not to their area meeting.</w:t>
      </w:r>
    </w:p>
    <w:p w14:paraId="34311E21" w14:textId="5B5D9C3F" w:rsidR="00B0721F" w:rsidRDefault="00B0721F" w:rsidP="00C87D74">
      <w:pPr>
        <w:spacing w:after="160" w:line="259" w:lineRule="auto"/>
      </w:pPr>
    </w:p>
    <w:p w14:paraId="4C5241F5" w14:textId="6B812BA2" w:rsidR="004A1E1C" w:rsidRDefault="004B77CA" w:rsidP="00C87D74">
      <w:pPr>
        <w:spacing w:after="160" w:line="259" w:lineRule="auto"/>
        <w:rPr>
          <w:b/>
          <w:bCs/>
        </w:rPr>
      </w:pPr>
      <w:r>
        <w:rPr>
          <w:b/>
          <w:bCs/>
        </w:rPr>
        <w:t xml:space="preserve">3.  </w:t>
      </w:r>
      <w:r w:rsidR="004A1E1C">
        <w:rPr>
          <w:b/>
          <w:bCs/>
        </w:rPr>
        <w:t>Brighouse, Leeds and Settle Building Charity</w:t>
      </w:r>
    </w:p>
    <w:p w14:paraId="75269EEA" w14:textId="22513BAD" w:rsidR="00B0721F" w:rsidRDefault="00B0721F" w:rsidP="00C87D74">
      <w:pPr>
        <w:spacing w:after="160" w:line="259" w:lineRule="auto"/>
      </w:pPr>
      <w:r>
        <w:t>This provides an example of what has happened in Yorkshire in the past and by implication what could happen again.</w:t>
      </w:r>
    </w:p>
    <w:p w14:paraId="255211BC" w14:textId="77777777" w:rsidR="00516F1B" w:rsidRDefault="00B0721F" w:rsidP="00C87D74">
      <w:pPr>
        <w:spacing w:after="160" w:line="259" w:lineRule="auto"/>
      </w:pPr>
      <w:r>
        <w:t xml:space="preserve">In 1923, the then Brighouse Monthly Meeting split into three monthly meetings but the assets (meeting houses and trust funds) were not split between the new monthly meetings.  Instead they were passed to </w:t>
      </w:r>
      <w:r w:rsidR="004A1E1C">
        <w:t xml:space="preserve">the </w:t>
      </w:r>
      <w:r w:rsidR="004A1E1C">
        <w:rPr>
          <w:b/>
          <w:bCs/>
        </w:rPr>
        <w:t>Brighouse, Leeds and Settle Monthly Meeting Joint Trust Funds Committee</w:t>
      </w:r>
      <w:r>
        <w:t xml:space="preserve">.  In 1923 there were no charities with remits of administering property, hence the setting up of a Joint Trust Funds Committee.  </w:t>
      </w:r>
      <w:r w:rsidR="00AC2ED3">
        <w:t>Later, t</w:t>
      </w:r>
      <w:r>
        <w:t>he Committee did become a charity</w:t>
      </w:r>
      <w:r w:rsidR="00516F1B">
        <w:t>.</w:t>
      </w:r>
    </w:p>
    <w:p w14:paraId="2CC7559D" w14:textId="77777777" w:rsidR="00670517" w:rsidRDefault="00516F1B" w:rsidP="00C87D74">
      <w:pPr>
        <w:spacing w:after="160" w:line="259" w:lineRule="auto"/>
      </w:pPr>
      <w:r>
        <w:t xml:space="preserve">When the Joint Trust Funds Committee was set up in 1923, it had 27 meeting houses, 16 burial grounds, 24 other properties, and 68 trust funds.  Over the century, the trust funds were merged, </w:t>
      </w:r>
      <w:r w:rsidR="00670517">
        <w:t xml:space="preserve">some </w:t>
      </w:r>
      <w:r>
        <w:t>properties and burial grounds were sold</w:t>
      </w:r>
      <w:r w:rsidR="00670517">
        <w:t xml:space="preserve">. Unused </w:t>
      </w:r>
      <w:r>
        <w:t xml:space="preserve">meeting houses were </w:t>
      </w:r>
      <w:r w:rsidR="00670517">
        <w:t xml:space="preserve">also </w:t>
      </w:r>
      <w:r>
        <w:t xml:space="preserve">sold.  </w:t>
      </w:r>
    </w:p>
    <w:p w14:paraId="216B19D1" w14:textId="039B13F4" w:rsidR="00B0721F" w:rsidRDefault="00670517" w:rsidP="00C87D74">
      <w:pPr>
        <w:spacing w:after="160" w:line="259" w:lineRule="auto"/>
      </w:pPr>
      <w:r>
        <w:t xml:space="preserve">Gradually </w:t>
      </w:r>
      <w:r w:rsidR="00B0721F">
        <w:t xml:space="preserve">over time ownership of the active meeting houses </w:t>
      </w:r>
      <w:r>
        <w:t xml:space="preserve">was passed </w:t>
      </w:r>
      <w:r w:rsidR="00B0721F">
        <w:t>local</w:t>
      </w:r>
      <w:r>
        <w:t>/area</w:t>
      </w:r>
      <w:r w:rsidR="00B0721F">
        <w:t xml:space="preserve"> meeting</w:t>
      </w:r>
      <w:r w:rsidR="00AC2ED3">
        <w:t>s</w:t>
      </w:r>
      <w:r>
        <w:t>.  B</w:t>
      </w:r>
      <w:r w:rsidR="00B0721F">
        <w:t xml:space="preserve">y </w:t>
      </w:r>
      <w:r w:rsidR="00AC2ED3">
        <w:t>2000</w:t>
      </w:r>
      <w:r w:rsidR="00B0721F">
        <w:t xml:space="preserve"> it had only two meeting houses (Airton and Gildersome) plus a number of burial grounds.  </w:t>
      </w:r>
      <w:r w:rsidR="004A1E1C">
        <w:t>In 2</w:t>
      </w:r>
      <w:r w:rsidR="008E1FD3">
        <w:t>017</w:t>
      </w:r>
      <w:r w:rsidR="004A1E1C">
        <w:t xml:space="preserve"> </w:t>
      </w:r>
      <w:r w:rsidR="00AC2ED3">
        <w:t>the charity was closed</w:t>
      </w:r>
      <w:r>
        <w:t xml:space="preserve"> with Airton and Gildersome passing to the relevant AM</w:t>
      </w:r>
      <w:r w:rsidR="00AC2ED3">
        <w:t>.  T</w:t>
      </w:r>
      <w:r w:rsidR="004A1E1C">
        <w:t xml:space="preserve">he remaining </w:t>
      </w:r>
      <w:r w:rsidR="00B0721F">
        <w:t>Funds were passed to Quakers in Yorkshire who administer it as a restricted fund for properties and burial grounds in the three AMs.</w:t>
      </w:r>
    </w:p>
    <w:p w14:paraId="59905632" w14:textId="11891772" w:rsidR="004A1E1C" w:rsidRDefault="004A1E1C" w:rsidP="00CB3CE1">
      <w:pPr>
        <w:spacing w:after="160" w:line="259" w:lineRule="auto"/>
      </w:pPr>
      <w:r>
        <w:t xml:space="preserve">The body did not employ any staff </w:t>
      </w:r>
      <w:r w:rsidR="00670517">
        <w:t xml:space="preserve">but it did use regular contractors and lawyers.  All </w:t>
      </w:r>
      <w:r>
        <w:t xml:space="preserve">work on meeting houses, or other properties, was done by local meetings.  In the Trust Fund book, published in </w:t>
      </w:r>
      <w:r w:rsidRPr="00AC2ED3">
        <w:t>195</w:t>
      </w:r>
      <w:r w:rsidR="00AC2ED3" w:rsidRPr="00AC2ED3">
        <w:t>1</w:t>
      </w:r>
      <w:r w:rsidR="00AC2ED3">
        <w:t>,</w:t>
      </w:r>
      <w:r>
        <w:t xml:space="preserve"> this is described as “controlled by X Preparative Meeting”</w:t>
      </w:r>
      <w:r w:rsidR="00AC2ED3">
        <w:t>.</w:t>
      </w:r>
      <w:r>
        <w:t xml:space="preserve">  The model was that the property was owned by the Building Charity but most meeting houses were managed locally</w:t>
      </w:r>
      <w:r w:rsidR="00AC2ED3">
        <w:t xml:space="preserve"> and funds for maintenance raised locally</w:t>
      </w:r>
      <w:r>
        <w:t xml:space="preserve">.  </w:t>
      </w:r>
      <w:r w:rsidR="008E1FD3">
        <w:t>I</w:t>
      </w:r>
      <w:r>
        <w:t>n the latter part of the 20th century it was easy to transfer ownership to the relevant local/area meeting.</w:t>
      </w:r>
    </w:p>
    <w:p w14:paraId="73F46C6E" w14:textId="77777777" w:rsidR="004A1E1C" w:rsidRPr="00B0721F" w:rsidRDefault="004A1E1C" w:rsidP="00CB3CE1">
      <w:pPr>
        <w:spacing w:after="160" w:line="259" w:lineRule="auto"/>
      </w:pPr>
    </w:p>
    <w:sectPr w:rsidR="004A1E1C" w:rsidRPr="00B0721F" w:rsidSect="00F333C8">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5D4E7" w14:textId="77777777" w:rsidR="00B72C47" w:rsidRDefault="00B72C47" w:rsidP="00F333C8">
      <w:r>
        <w:separator/>
      </w:r>
    </w:p>
  </w:endnote>
  <w:endnote w:type="continuationSeparator" w:id="0">
    <w:p w14:paraId="59AD5512" w14:textId="77777777" w:rsidR="00B72C47" w:rsidRDefault="00B72C47" w:rsidP="00F3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135114"/>
      <w:docPartObj>
        <w:docPartGallery w:val="Page Numbers (Bottom of Page)"/>
        <w:docPartUnique/>
      </w:docPartObj>
    </w:sdtPr>
    <w:sdtEndPr>
      <w:rPr>
        <w:noProof/>
      </w:rPr>
    </w:sdtEndPr>
    <w:sdtContent>
      <w:p w14:paraId="0D60C5D8" w14:textId="1A733937" w:rsidR="00F333C8" w:rsidRDefault="00F333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FFED12" w14:textId="77777777" w:rsidR="00F333C8" w:rsidRDefault="00F33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DF2E8" w14:textId="77777777" w:rsidR="00B72C47" w:rsidRDefault="00B72C47" w:rsidP="00F333C8">
      <w:r>
        <w:separator/>
      </w:r>
    </w:p>
  </w:footnote>
  <w:footnote w:type="continuationSeparator" w:id="0">
    <w:p w14:paraId="65776396" w14:textId="77777777" w:rsidR="00B72C47" w:rsidRDefault="00B72C47" w:rsidP="00F33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8407D"/>
    <w:multiLevelType w:val="hybridMultilevel"/>
    <w:tmpl w:val="9096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7D0632"/>
    <w:multiLevelType w:val="hybridMultilevel"/>
    <w:tmpl w:val="CA1A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0E4829"/>
    <w:multiLevelType w:val="hybridMultilevel"/>
    <w:tmpl w:val="4740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614CB"/>
    <w:multiLevelType w:val="hybridMultilevel"/>
    <w:tmpl w:val="C75C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3769C"/>
    <w:multiLevelType w:val="hybridMultilevel"/>
    <w:tmpl w:val="FAF2D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4E"/>
    <w:rsid w:val="00003B1A"/>
    <w:rsid w:val="0001729F"/>
    <w:rsid w:val="00030F91"/>
    <w:rsid w:val="00034B48"/>
    <w:rsid w:val="00045F2E"/>
    <w:rsid w:val="00060B25"/>
    <w:rsid w:val="00064446"/>
    <w:rsid w:val="0008267E"/>
    <w:rsid w:val="000940A9"/>
    <w:rsid w:val="000A16A6"/>
    <w:rsid w:val="000A1B56"/>
    <w:rsid w:val="000B5AAE"/>
    <w:rsid w:val="000B6502"/>
    <w:rsid w:val="000E45DE"/>
    <w:rsid w:val="000E4BD9"/>
    <w:rsid w:val="000E7272"/>
    <w:rsid w:val="00115B90"/>
    <w:rsid w:val="00117CA4"/>
    <w:rsid w:val="00123AAD"/>
    <w:rsid w:val="00127DD2"/>
    <w:rsid w:val="00130EF7"/>
    <w:rsid w:val="00141BAA"/>
    <w:rsid w:val="00147155"/>
    <w:rsid w:val="00147778"/>
    <w:rsid w:val="00147942"/>
    <w:rsid w:val="00161586"/>
    <w:rsid w:val="0016650C"/>
    <w:rsid w:val="001709FA"/>
    <w:rsid w:val="0018120C"/>
    <w:rsid w:val="001906AF"/>
    <w:rsid w:val="001B5CCD"/>
    <w:rsid w:val="001C0F21"/>
    <w:rsid w:val="001C33F9"/>
    <w:rsid w:val="001E68F5"/>
    <w:rsid w:val="001F315C"/>
    <w:rsid w:val="00201806"/>
    <w:rsid w:val="00207ABE"/>
    <w:rsid w:val="00217312"/>
    <w:rsid w:val="00225368"/>
    <w:rsid w:val="00227A65"/>
    <w:rsid w:val="00227CF2"/>
    <w:rsid w:val="00241306"/>
    <w:rsid w:val="002600F6"/>
    <w:rsid w:val="00286C08"/>
    <w:rsid w:val="002874FE"/>
    <w:rsid w:val="002B0E34"/>
    <w:rsid w:val="002B16D1"/>
    <w:rsid w:val="002B7700"/>
    <w:rsid w:val="002D44A9"/>
    <w:rsid w:val="002E6234"/>
    <w:rsid w:val="003022C5"/>
    <w:rsid w:val="00302909"/>
    <w:rsid w:val="00302D2A"/>
    <w:rsid w:val="0032134C"/>
    <w:rsid w:val="003239D8"/>
    <w:rsid w:val="00353EE1"/>
    <w:rsid w:val="00362227"/>
    <w:rsid w:val="0037407D"/>
    <w:rsid w:val="00383635"/>
    <w:rsid w:val="00384E44"/>
    <w:rsid w:val="003873E9"/>
    <w:rsid w:val="00391A0D"/>
    <w:rsid w:val="003A2D6E"/>
    <w:rsid w:val="00401C7D"/>
    <w:rsid w:val="00406C7E"/>
    <w:rsid w:val="00407ABA"/>
    <w:rsid w:val="004113D9"/>
    <w:rsid w:val="004269F0"/>
    <w:rsid w:val="004275AB"/>
    <w:rsid w:val="00433371"/>
    <w:rsid w:val="004465ED"/>
    <w:rsid w:val="00447D97"/>
    <w:rsid w:val="00450EE9"/>
    <w:rsid w:val="004703D0"/>
    <w:rsid w:val="00473120"/>
    <w:rsid w:val="00477ADC"/>
    <w:rsid w:val="00482F7B"/>
    <w:rsid w:val="004A1E1C"/>
    <w:rsid w:val="004B77CA"/>
    <w:rsid w:val="004D4AB4"/>
    <w:rsid w:val="004E3ADA"/>
    <w:rsid w:val="004E43AA"/>
    <w:rsid w:val="004F0EDF"/>
    <w:rsid w:val="004F57B9"/>
    <w:rsid w:val="00500D1D"/>
    <w:rsid w:val="00506B17"/>
    <w:rsid w:val="0051318E"/>
    <w:rsid w:val="00516F1B"/>
    <w:rsid w:val="00525FD0"/>
    <w:rsid w:val="00527E1E"/>
    <w:rsid w:val="005306F5"/>
    <w:rsid w:val="00530E74"/>
    <w:rsid w:val="0053531A"/>
    <w:rsid w:val="00541B62"/>
    <w:rsid w:val="005463F7"/>
    <w:rsid w:val="005564F0"/>
    <w:rsid w:val="0056682A"/>
    <w:rsid w:val="00576762"/>
    <w:rsid w:val="005A65DA"/>
    <w:rsid w:val="005C5728"/>
    <w:rsid w:val="005D3B02"/>
    <w:rsid w:val="005F488C"/>
    <w:rsid w:val="00600922"/>
    <w:rsid w:val="00617F62"/>
    <w:rsid w:val="00624055"/>
    <w:rsid w:val="00643A65"/>
    <w:rsid w:val="00645E3E"/>
    <w:rsid w:val="00651F6F"/>
    <w:rsid w:val="00652289"/>
    <w:rsid w:val="006528B1"/>
    <w:rsid w:val="00654DD5"/>
    <w:rsid w:val="00670517"/>
    <w:rsid w:val="006823B7"/>
    <w:rsid w:val="00686ADC"/>
    <w:rsid w:val="006A446A"/>
    <w:rsid w:val="006D4A5B"/>
    <w:rsid w:val="006D7CD8"/>
    <w:rsid w:val="006E3A33"/>
    <w:rsid w:val="006F740F"/>
    <w:rsid w:val="007003CA"/>
    <w:rsid w:val="00704B5D"/>
    <w:rsid w:val="00705ECC"/>
    <w:rsid w:val="00722348"/>
    <w:rsid w:val="00732D79"/>
    <w:rsid w:val="007376E8"/>
    <w:rsid w:val="007517CD"/>
    <w:rsid w:val="007655F4"/>
    <w:rsid w:val="0077294B"/>
    <w:rsid w:val="0078466D"/>
    <w:rsid w:val="007B0D34"/>
    <w:rsid w:val="007B152E"/>
    <w:rsid w:val="007C4D6C"/>
    <w:rsid w:val="007D1E74"/>
    <w:rsid w:val="007D230C"/>
    <w:rsid w:val="007D7DB8"/>
    <w:rsid w:val="007E1149"/>
    <w:rsid w:val="007E5E8F"/>
    <w:rsid w:val="00806988"/>
    <w:rsid w:val="00810987"/>
    <w:rsid w:val="008446BE"/>
    <w:rsid w:val="008523DC"/>
    <w:rsid w:val="008554B7"/>
    <w:rsid w:val="00855617"/>
    <w:rsid w:val="00864C13"/>
    <w:rsid w:val="00872B6B"/>
    <w:rsid w:val="0088378B"/>
    <w:rsid w:val="00897AC9"/>
    <w:rsid w:val="008B04BB"/>
    <w:rsid w:val="008C1C12"/>
    <w:rsid w:val="008C4261"/>
    <w:rsid w:val="008E1FD3"/>
    <w:rsid w:val="00905213"/>
    <w:rsid w:val="00907DD9"/>
    <w:rsid w:val="009245BF"/>
    <w:rsid w:val="00932DC4"/>
    <w:rsid w:val="00943172"/>
    <w:rsid w:val="009458D0"/>
    <w:rsid w:val="00967090"/>
    <w:rsid w:val="009709B3"/>
    <w:rsid w:val="009B2330"/>
    <w:rsid w:val="009B5A6E"/>
    <w:rsid w:val="009E0C20"/>
    <w:rsid w:val="00A0048C"/>
    <w:rsid w:val="00A12DD2"/>
    <w:rsid w:val="00A22C24"/>
    <w:rsid w:val="00A40344"/>
    <w:rsid w:val="00A4058F"/>
    <w:rsid w:val="00A52272"/>
    <w:rsid w:val="00A63300"/>
    <w:rsid w:val="00A710EA"/>
    <w:rsid w:val="00A779E8"/>
    <w:rsid w:val="00A91DFE"/>
    <w:rsid w:val="00A9317D"/>
    <w:rsid w:val="00A979FE"/>
    <w:rsid w:val="00AB41CD"/>
    <w:rsid w:val="00AC1D60"/>
    <w:rsid w:val="00AC2ED3"/>
    <w:rsid w:val="00AD1A89"/>
    <w:rsid w:val="00AD69BA"/>
    <w:rsid w:val="00AD755E"/>
    <w:rsid w:val="00AE34C7"/>
    <w:rsid w:val="00AF226D"/>
    <w:rsid w:val="00AF3ADB"/>
    <w:rsid w:val="00B01125"/>
    <w:rsid w:val="00B067A6"/>
    <w:rsid w:val="00B0721F"/>
    <w:rsid w:val="00B27A70"/>
    <w:rsid w:val="00B35870"/>
    <w:rsid w:val="00B43664"/>
    <w:rsid w:val="00B659A6"/>
    <w:rsid w:val="00B6792C"/>
    <w:rsid w:val="00B72C47"/>
    <w:rsid w:val="00B74FE7"/>
    <w:rsid w:val="00B75906"/>
    <w:rsid w:val="00B80E25"/>
    <w:rsid w:val="00B87C9E"/>
    <w:rsid w:val="00BA16F4"/>
    <w:rsid w:val="00BB784A"/>
    <w:rsid w:val="00BB7CAB"/>
    <w:rsid w:val="00BD6B52"/>
    <w:rsid w:val="00C0269A"/>
    <w:rsid w:val="00C1700C"/>
    <w:rsid w:val="00C2211E"/>
    <w:rsid w:val="00C233B0"/>
    <w:rsid w:val="00C2645F"/>
    <w:rsid w:val="00C2684E"/>
    <w:rsid w:val="00C3394F"/>
    <w:rsid w:val="00C53519"/>
    <w:rsid w:val="00C57F04"/>
    <w:rsid w:val="00C72A95"/>
    <w:rsid w:val="00C748DC"/>
    <w:rsid w:val="00C83352"/>
    <w:rsid w:val="00C87D74"/>
    <w:rsid w:val="00C91796"/>
    <w:rsid w:val="00C96777"/>
    <w:rsid w:val="00C96914"/>
    <w:rsid w:val="00CA1E19"/>
    <w:rsid w:val="00CA2174"/>
    <w:rsid w:val="00CB3CE1"/>
    <w:rsid w:val="00CB6B43"/>
    <w:rsid w:val="00CC26FA"/>
    <w:rsid w:val="00CD41AB"/>
    <w:rsid w:val="00CD65F0"/>
    <w:rsid w:val="00CE38F2"/>
    <w:rsid w:val="00CE3EF7"/>
    <w:rsid w:val="00CF28E8"/>
    <w:rsid w:val="00D05A09"/>
    <w:rsid w:val="00D163CC"/>
    <w:rsid w:val="00D21E83"/>
    <w:rsid w:val="00D43DD3"/>
    <w:rsid w:val="00D51F58"/>
    <w:rsid w:val="00D625C3"/>
    <w:rsid w:val="00D801A2"/>
    <w:rsid w:val="00DB219A"/>
    <w:rsid w:val="00DC0A08"/>
    <w:rsid w:val="00DD0E2B"/>
    <w:rsid w:val="00DE39AC"/>
    <w:rsid w:val="00DF30D1"/>
    <w:rsid w:val="00DF4543"/>
    <w:rsid w:val="00DF587A"/>
    <w:rsid w:val="00E01432"/>
    <w:rsid w:val="00E029B3"/>
    <w:rsid w:val="00E034BA"/>
    <w:rsid w:val="00E23940"/>
    <w:rsid w:val="00E3374F"/>
    <w:rsid w:val="00E37C20"/>
    <w:rsid w:val="00E530E0"/>
    <w:rsid w:val="00E624D8"/>
    <w:rsid w:val="00E73D7E"/>
    <w:rsid w:val="00E85B73"/>
    <w:rsid w:val="00E8704D"/>
    <w:rsid w:val="00E970EA"/>
    <w:rsid w:val="00E978BF"/>
    <w:rsid w:val="00EA1B08"/>
    <w:rsid w:val="00EB0477"/>
    <w:rsid w:val="00ED6B48"/>
    <w:rsid w:val="00ED6F18"/>
    <w:rsid w:val="00EE6B5B"/>
    <w:rsid w:val="00EF0EF5"/>
    <w:rsid w:val="00EF62A3"/>
    <w:rsid w:val="00F03B0E"/>
    <w:rsid w:val="00F118DF"/>
    <w:rsid w:val="00F1784C"/>
    <w:rsid w:val="00F230D9"/>
    <w:rsid w:val="00F333C8"/>
    <w:rsid w:val="00F433CF"/>
    <w:rsid w:val="00F61F5B"/>
    <w:rsid w:val="00F6787B"/>
    <w:rsid w:val="00F746AE"/>
    <w:rsid w:val="00F7617D"/>
    <w:rsid w:val="00F830DE"/>
    <w:rsid w:val="00F84E6A"/>
    <w:rsid w:val="00F9072D"/>
    <w:rsid w:val="00FA66CF"/>
    <w:rsid w:val="00FB09F9"/>
    <w:rsid w:val="00FB1D13"/>
    <w:rsid w:val="00FD2239"/>
    <w:rsid w:val="00FE6101"/>
    <w:rsid w:val="00FF2D50"/>
    <w:rsid w:val="00FF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B00C"/>
  <w15:chartTrackingRefBased/>
  <w15:docId w15:val="{17986E9A-2BA4-42A9-BC53-BA6754BC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Cs/>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CA4"/>
    <w:rPr>
      <w:rFonts w:ascii="Segoe UI" w:hAnsi="Segoe UI" w:cs="Segoe UI"/>
      <w:sz w:val="18"/>
      <w:szCs w:val="18"/>
    </w:rPr>
  </w:style>
  <w:style w:type="paragraph" w:styleId="ListParagraph">
    <w:name w:val="List Paragraph"/>
    <w:basedOn w:val="Normal"/>
    <w:uiPriority w:val="34"/>
    <w:qFormat/>
    <w:rsid w:val="00A22C24"/>
    <w:pPr>
      <w:ind w:left="720"/>
      <w:contextualSpacing/>
    </w:pPr>
  </w:style>
  <w:style w:type="paragraph" w:styleId="Header">
    <w:name w:val="header"/>
    <w:basedOn w:val="Normal"/>
    <w:link w:val="HeaderChar"/>
    <w:uiPriority w:val="99"/>
    <w:unhideWhenUsed/>
    <w:rsid w:val="00F333C8"/>
    <w:pPr>
      <w:tabs>
        <w:tab w:val="center" w:pos="4513"/>
        <w:tab w:val="right" w:pos="9026"/>
      </w:tabs>
    </w:pPr>
  </w:style>
  <w:style w:type="character" w:customStyle="1" w:styleId="HeaderChar">
    <w:name w:val="Header Char"/>
    <w:basedOn w:val="DefaultParagraphFont"/>
    <w:link w:val="Header"/>
    <w:uiPriority w:val="99"/>
    <w:rsid w:val="00F333C8"/>
  </w:style>
  <w:style w:type="paragraph" w:styleId="Footer">
    <w:name w:val="footer"/>
    <w:basedOn w:val="Normal"/>
    <w:link w:val="FooterChar"/>
    <w:uiPriority w:val="99"/>
    <w:unhideWhenUsed/>
    <w:rsid w:val="00F333C8"/>
    <w:pPr>
      <w:tabs>
        <w:tab w:val="center" w:pos="4513"/>
        <w:tab w:val="right" w:pos="9026"/>
      </w:tabs>
    </w:pPr>
  </w:style>
  <w:style w:type="character" w:customStyle="1" w:styleId="FooterChar">
    <w:name w:val="Footer Char"/>
    <w:basedOn w:val="DefaultParagraphFont"/>
    <w:link w:val="Footer"/>
    <w:uiPriority w:val="99"/>
    <w:rsid w:val="00F333C8"/>
  </w:style>
  <w:style w:type="character" w:styleId="Hyperlink">
    <w:name w:val="Hyperlink"/>
    <w:basedOn w:val="DefaultParagraphFont"/>
    <w:uiPriority w:val="99"/>
    <w:unhideWhenUsed/>
    <w:rsid w:val="00AE34C7"/>
    <w:rPr>
      <w:color w:val="0563C1" w:themeColor="hyperlink"/>
      <w:u w:val="single"/>
    </w:rPr>
  </w:style>
  <w:style w:type="character" w:styleId="UnresolvedMention">
    <w:name w:val="Unresolved Mention"/>
    <w:basedOn w:val="DefaultParagraphFont"/>
    <w:uiPriority w:val="99"/>
    <w:semiHidden/>
    <w:unhideWhenUsed/>
    <w:rsid w:val="00AE3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849</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24</cp:revision>
  <cp:lastPrinted>2023-06-19T08:49:00Z</cp:lastPrinted>
  <dcterms:created xsi:type="dcterms:W3CDTF">2023-06-05T16:03:00Z</dcterms:created>
  <dcterms:modified xsi:type="dcterms:W3CDTF">2023-06-20T06:28:00Z</dcterms:modified>
</cp:coreProperties>
</file>